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9468D9" w:rsidRDefault="009468D9" w14:paraId="33AD50F6" wp14:textId="77777777">
      <w:r>
        <w:t xml:space="preserve">Disability </w:t>
      </w:r>
      <w:r w:rsidR="0023398F">
        <w:t xml:space="preserve">Law, </w:t>
      </w:r>
      <w:r w:rsidR="002A1B4E">
        <w:t>policy and</w:t>
      </w:r>
      <w:r>
        <w:t xml:space="preserve"> practice.</w:t>
      </w:r>
    </w:p>
    <w:p xmlns:wp14="http://schemas.microsoft.com/office/word/2010/wordml" w:rsidR="009468D9" w:rsidRDefault="009468D9" w14:paraId="672A6659" wp14:textId="77777777"/>
    <w:p xmlns:wp14="http://schemas.microsoft.com/office/word/2010/wordml" w:rsidR="009468D9" w:rsidRDefault="009468D9" w14:paraId="7B8F3808" wp14:textId="77777777">
      <w:r>
        <w:t>Equality Act 2010.</w:t>
      </w:r>
    </w:p>
    <w:p xmlns:wp14="http://schemas.microsoft.com/office/word/2010/wordml" w:rsidR="00780438" w:rsidRDefault="009468D9" w14:paraId="5E75B051" wp14:textId="77777777">
      <w:r>
        <w:t xml:space="preserve">This Act replaces the Disability Discrimination Act 1995 and combines much other equality legislation.  </w:t>
      </w:r>
    </w:p>
    <w:p xmlns:wp14="http://schemas.microsoft.com/office/word/2010/wordml" w:rsidR="00780438" w:rsidP="00780438" w:rsidRDefault="00780438" w14:paraId="78E90FD5" wp14:textId="77777777">
      <w:pPr>
        <w:numPr>
          <w:ilvl w:val="0"/>
          <w:numId w:val="2"/>
        </w:numPr>
      </w:pPr>
      <w:r>
        <w:rPr>
          <w:b/>
        </w:rPr>
        <w:t>Protected characteristics.</w:t>
      </w:r>
      <w:r>
        <w:t xml:space="preserve">  </w:t>
      </w:r>
      <w:r w:rsidR="00F577C9">
        <w:t xml:space="preserve">It introduces the concept of “protected characteristics”: age, gender, disability etc.  </w:t>
      </w:r>
    </w:p>
    <w:p xmlns:wp14="http://schemas.microsoft.com/office/word/2010/wordml" w:rsidR="00780438" w:rsidP="00780438" w:rsidRDefault="00780438" w14:paraId="4503F39C" wp14:textId="77777777">
      <w:pPr>
        <w:numPr>
          <w:ilvl w:val="0"/>
          <w:numId w:val="2"/>
        </w:numPr>
      </w:pPr>
      <w:r>
        <w:rPr>
          <w:b/>
        </w:rPr>
        <w:t>Disability.</w:t>
      </w:r>
      <w:r>
        <w:t xml:space="preserve">  </w:t>
      </w:r>
      <w:r w:rsidR="00F577C9">
        <w:t xml:space="preserve">Areas </w:t>
      </w:r>
      <w:r w:rsidR="009468D9">
        <w:t xml:space="preserve">to note regarding disabled people are the more specific requirements for reasonable adjustments in providing information in alternative formats and the restrictions on asking about health, sickness record, disability etc during work recruitment processes (with some exceptions).  </w:t>
      </w:r>
    </w:p>
    <w:p xmlns:wp14="http://schemas.microsoft.com/office/word/2010/wordml" w:rsidR="00780438" w:rsidP="00780438" w:rsidRDefault="00780438" w14:paraId="1C1AC203" wp14:textId="77777777">
      <w:pPr>
        <w:numPr>
          <w:ilvl w:val="0"/>
          <w:numId w:val="2"/>
        </w:numPr>
      </w:pPr>
      <w:r>
        <w:rPr>
          <w:b/>
        </w:rPr>
        <w:t xml:space="preserve">Public sector.  </w:t>
      </w:r>
      <w:r w:rsidR="009468D9">
        <w:t xml:space="preserve">The Act also makes changes for public sector organisations: Race, gender and Disability Equality Schemes </w:t>
      </w:r>
      <w:r>
        <w:t xml:space="preserve">are </w:t>
      </w:r>
      <w:r w:rsidR="009468D9">
        <w:t xml:space="preserve">replaced by more generic requirements to publish information about people with protected characteristics affected by the organisation and objectives to resolve any issues.  </w:t>
      </w:r>
    </w:p>
    <w:p xmlns:wp14="http://schemas.microsoft.com/office/word/2010/wordml" w:rsidR="009468D9" w:rsidP="00780438" w:rsidRDefault="00780438" w14:paraId="134D1C3C" wp14:textId="77777777">
      <w:pPr>
        <w:numPr>
          <w:ilvl w:val="0"/>
          <w:numId w:val="2"/>
        </w:numPr>
      </w:pPr>
      <w:r>
        <w:rPr>
          <w:b/>
        </w:rPr>
        <w:t>Public procurement.</w:t>
      </w:r>
      <w:r>
        <w:t xml:space="preserve">  </w:t>
      </w:r>
      <w:r w:rsidR="009468D9">
        <w:t>The Equality and Human Rights Commission (EHRC) has also published guidance on public sector procurement from which we have extracted the headline</w:t>
      </w:r>
      <w:r w:rsidR="0023398F">
        <w:t>s</w:t>
      </w:r>
      <w:r w:rsidR="009468D9">
        <w:t>.</w:t>
      </w:r>
    </w:p>
    <w:p xmlns:wp14="http://schemas.microsoft.com/office/word/2010/wordml" w:rsidR="009468D9" w:rsidRDefault="00780438" w14:paraId="03F4E82B" wp14:textId="77777777">
      <w:r>
        <w:t>There is much more in this complex legislation – we can help de-mystify it.</w:t>
      </w:r>
    </w:p>
    <w:p xmlns:wp14="http://schemas.microsoft.com/office/word/2010/wordml" w:rsidR="00780438" w:rsidP="00780438" w:rsidRDefault="00780438" w14:paraId="0A37501D" wp14:textId="77777777">
      <w:pPr>
        <w:rPr>
          <w:b/>
        </w:rPr>
      </w:pPr>
    </w:p>
    <w:p xmlns:wp14="http://schemas.microsoft.com/office/word/2010/wordml" w:rsidR="0004342C" w:rsidP="00780438" w:rsidRDefault="00780438" w14:paraId="4427F5E4" wp14:textId="77777777">
      <w:pPr>
        <w:rPr>
          <w:b/>
        </w:rPr>
      </w:pPr>
      <w:r>
        <w:rPr>
          <w:b/>
        </w:rPr>
        <w:t>Market segmentation.</w:t>
      </w:r>
    </w:p>
    <w:p xmlns:wp14="http://schemas.microsoft.com/office/word/2010/wordml" w:rsidR="00780438" w:rsidP="00780438" w:rsidRDefault="00AC205D" w14:paraId="5A651134" wp14:textId="77777777">
      <w:r>
        <w:rPr>
          <w:b/>
        </w:rPr>
        <w:t xml:space="preserve">Understanding your audience, whether as </w:t>
      </w:r>
      <w:r w:rsidR="00780438">
        <w:t xml:space="preserve">a business looking for new markets or a Government </w:t>
      </w:r>
      <w:r w:rsidR="002A1B4E">
        <w:t>Department wanting</w:t>
      </w:r>
      <w:r w:rsidR="00780438">
        <w:t xml:space="preserve"> improve</w:t>
      </w:r>
      <w:r>
        <w:t>d</w:t>
      </w:r>
      <w:r w:rsidR="00780438">
        <w:t xml:space="preserve"> public compliance</w:t>
      </w:r>
      <w:r w:rsidR="002A1B4E">
        <w:t>, may</w:t>
      </w:r>
      <w:r w:rsidR="0004342C">
        <w:t xml:space="preserve"> be </w:t>
      </w:r>
      <w:r>
        <w:t>a stronger driver than</w:t>
      </w:r>
      <w:r w:rsidR="0004342C">
        <w:t xml:space="preserve"> the law</w:t>
      </w:r>
      <w:r>
        <w:t>.</w:t>
      </w:r>
      <w:r w:rsidR="00780438">
        <w:t xml:space="preserve"> </w:t>
      </w:r>
      <w:r w:rsidR="0004342C">
        <w:t xml:space="preserve"> </w:t>
      </w:r>
      <w:r w:rsidR="00780438">
        <w:t xml:space="preserve">Socio-economic groupings are a starting point but equality and diversity demographics add more sophistication.  For example, knowing that disabled people </w:t>
      </w:r>
      <w:r w:rsidR="0004342C">
        <w:t xml:space="preserve">make up about </w:t>
      </w:r>
      <w:r w:rsidR="00780438">
        <w:t xml:space="preserve">20% of the </w:t>
      </w:r>
      <w:r w:rsidR="002A1B4E">
        <w:t>population with</w:t>
      </w:r>
      <w:r w:rsidR="00780438">
        <w:t xml:space="preserve"> </w:t>
      </w:r>
      <w:r w:rsidR="0004342C">
        <w:t xml:space="preserve">annual </w:t>
      </w:r>
      <w:r w:rsidR="00780438">
        <w:t xml:space="preserve">spending power of about £80bn.  But </w:t>
      </w:r>
      <w:r w:rsidR="0004342C">
        <w:t xml:space="preserve">relying </w:t>
      </w:r>
      <w:r w:rsidR="00780438">
        <w:t xml:space="preserve">on single channel IT communications </w:t>
      </w:r>
      <w:r w:rsidR="0004342C">
        <w:t xml:space="preserve">or </w:t>
      </w:r>
      <w:r w:rsidR="00780438">
        <w:t xml:space="preserve">“civil-servant </w:t>
      </w:r>
      <w:r w:rsidR="002A1B4E">
        <w:t>speak” will</w:t>
      </w:r>
      <w:r w:rsidR="0004342C">
        <w:t xml:space="preserve"> miss most of them</w:t>
      </w:r>
      <w:r w:rsidR="00780438">
        <w:t xml:space="preserve">.  </w:t>
      </w:r>
      <w:r w:rsidR="0004342C">
        <w:t xml:space="preserve">Our reviews of </w:t>
      </w:r>
      <w:r w:rsidR="00780438">
        <w:t xml:space="preserve">major publicly-funded services </w:t>
      </w:r>
      <w:r w:rsidR="0004342C">
        <w:t xml:space="preserve">changed </w:t>
      </w:r>
      <w:r w:rsidR="00780438">
        <w:t xml:space="preserve">contracts and </w:t>
      </w:r>
      <w:r w:rsidR="0004342C">
        <w:t xml:space="preserve">our </w:t>
      </w:r>
      <w:r w:rsidR="002A1B4E">
        <w:t xml:space="preserve">analysis </w:t>
      </w:r>
      <w:r w:rsidR="0004342C">
        <w:t>re-</w:t>
      </w:r>
      <w:r w:rsidR="002A1B4E">
        <w:t>focused</w:t>
      </w:r>
      <w:r w:rsidR="0004342C">
        <w:t xml:space="preserve"> local organisations –improving market penetration.</w:t>
      </w:r>
    </w:p>
    <w:p xmlns:wp14="http://schemas.microsoft.com/office/word/2010/wordml" w:rsidR="00F577C9" w:rsidP="00F577C9" w:rsidRDefault="00F577C9" w14:paraId="5CCD77CC" wp14:textId="77777777">
      <w:r>
        <w:t>Disability Dynamics model.</w:t>
      </w:r>
    </w:p>
    <w:p xmlns:wp14="http://schemas.microsoft.com/office/word/2010/wordml" w:rsidR="00F577C9" w:rsidP="00F577C9" w:rsidRDefault="00F577C9" w14:paraId="2AE2254D" wp14:textId="77777777">
      <w:r>
        <w:t xml:space="preserve">“Equality impact assessments” are </w:t>
      </w:r>
      <w:r w:rsidR="00191945">
        <w:t xml:space="preserve">out of favour </w:t>
      </w:r>
      <w:r>
        <w:t xml:space="preserve">but our model </w:t>
      </w:r>
      <w:r w:rsidR="002A1B4E">
        <w:t>of</w:t>
      </w:r>
      <w:r>
        <w:t xml:space="preserve"> the main </w:t>
      </w:r>
      <w:r w:rsidR="00191945">
        <w:t xml:space="preserve">disability </w:t>
      </w:r>
      <w:r>
        <w:t xml:space="preserve">issues </w:t>
      </w:r>
      <w:r w:rsidR="00191945">
        <w:t xml:space="preserve">also relates to </w:t>
      </w:r>
      <w:r>
        <w:t>other protected characteristics and discrimination</w:t>
      </w:r>
      <w:r w:rsidR="00191945">
        <w:t xml:space="preserve"> risks</w:t>
      </w:r>
      <w:r>
        <w:t>.</w:t>
      </w:r>
      <w:r w:rsidR="00D87792">
        <w:t xml:space="preserve">  For example, Policies </w:t>
      </w:r>
      <w:r w:rsidR="00191945">
        <w:t xml:space="preserve">might </w:t>
      </w:r>
      <w:r w:rsidR="00D87792">
        <w:t>include:</w:t>
      </w:r>
    </w:p>
    <w:p xmlns:wp14="http://schemas.microsoft.com/office/word/2010/wordml" w:rsidR="00D87792" w:rsidP="00F92F85" w:rsidRDefault="00D87792" w14:paraId="75F187BB" wp14:textId="77777777">
      <w:pPr>
        <w:numPr>
          <w:ilvl w:val="0"/>
          <w:numId w:val="1"/>
        </w:numPr>
      </w:pPr>
      <w:r w:rsidRPr="00F92F85">
        <w:rPr>
          <w:b/>
        </w:rPr>
        <w:t>Attitudes:</w:t>
      </w:r>
      <w:r>
        <w:t xml:space="preserve"> HR policies </w:t>
      </w:r>
      <w:r w:rsidR="002A1B4E">
        <w:t xml:space="preserve">requiring </w:t>
      </w:r>
      <w:r>
        <w:t>disability awareness training for staff to improve customer service and reduce risk of direct discrimination</w:t>
      </w:r>
      <w:r w:rsidR="002A1B4E">
        <w:t>, harassment</w:t>
      </w:r>
      <w:r>
        <w:t xml:space="preserve"> or victimisation.  Recruitment policies and practices that reflect the Equality Act changes</w:t>
      </w:r>
      <w:r w:rsidR="002A1B4E">
        <w:t>, Access</w:t>
      </w:r>
      <w:r>
        <w:t xml:space="preserve"> To Work funding for disabled employees plus training</w:t>
      </w:r>
      <w:r w:rsidR="002A1B4E">
        <w:t xml:space="preserve"> interviewers</w:t>
      </w:r>
      <w:r>
        <w:t>.</w:t>
      </w:r>
      <w:r w:rsidR="00F92F85">
        <w:t xml:space="preserve">  See our guide to disability etiquette</w:t>
      </w:r>
      <w:r w:rsidR="0023398F">
        <w:t>.</w:t>
      </w:r>
    </w:p>
    <w:p xmlns:wp14="http://schemas.microsoft.com/office/word/2010/wordml" w:rsidR="00D87792" w:rsidP="00F92F85" w:rsidRDefault="00D87792" w14:paraId="174D334F" wp14:textId="77777777">
      <w:pPr>
        <w:numPr>
          <w:ilvl w:val="0"/>
          <w:numId w:val="1"/>
        </w:numPr>
      </w:pPr>
      <w:smartTag w:uri="urn:schemas-microsoft-com:office:smarttags" w:element="PersonName">
        <w:r w:rsidRPr="00F92F85">
          <w:rPr>
            <w:b/>
          </w:rPr>
          <w:t>Communications</w:t>
        </w:r>
      </w:smartTag>
      <w:r w:rsidRPr="00F92F85">
        <w:rPr>
          <w:b/>
        </w:rPr>
        <w:t>:</w:t>
      </w:r>
      <w:r>
        <w:t xml:space="preserve">   Policies about internal and external communications that </w:t>
      </w:r>
      <w:r w:rsidR="002A1B4E">
        <w:t xml:space="preserve">cover </w:t>
      </w:r>
      <w:r>
        <w:t>reasonable adjustments, alternative formats, adaptive technology and more.</w:t>
      </w:r>
    </w:p>
    <w:p xmlns:wp14="http://schemas.microsoft.com/office/word/2010/wordml" w:rsidR="00D87792" w:rsidP="00F92F85" w:rsidRDefault="00D87792" w14:paraId="5ED36CCE" wp14:textId="77777777">
      <w:pPr>
        <w:numPr>
          <w:ilvl w:val="0"/>
          <w:numId w:val="1"/>
        </w:numPr>
      </w:pPr>
      <w:r w:rsidRPr="00F92F85">
        <w:rPr>
          <w:b/>
        </w:rPr>
        <w:t>Environment:</w:t>
      </w:r>
      <w:r>
        <w:t xml:space="preserve">  Policies for internal staff and the public that </w:t>
      </w:r>
      <w:r w:rsidR="002A1B4E">
        <w:t xml:space="preserve">cover </w:t>
      </w:r>
      <w:r>
        <w:t xml:space="preserve">reasonable adjustments, </w:t>
      </w:r>
      <w:r w:rsidR="002A1B4E">
        <w:t>accessibility</w:t>
      </w:r>
      <w:r>
        <w:t>, adaptive technology and more.</w:t>
      </w:r>
      <w:r w:rsidR="00F92F85">
        <w:t xml:space="preserve">  See our guide on accessible events</w:t>
      </w:r>
      <w:r w:rsidR="0023398F">
        <w:t>.</w:t>
      </w:r>
    </w:p>
    <w:p xmlns:wp14="http://schemas.microsoft.com/office/word/2010/wordml" w:rsidR="00D87792" w:rsidP="00F577C9" w:rsidRDefault="00F92F85" w14:paraId="3F695CF9" wp14:textId="77777777">
      <w:r>
        <w:t>None of this is rocket-science.</w:t>
      </w:r>
    </w:p>
    <w:p xmlns:wp14="http://schemas.microsoft.com/office/word/2010/wordml" w:rsidR="00F577C9" w:rsidRDefault="00F577C9" w14:paraId="5DAB6C7B" wp14:textId="77777777"/>
    <w:p xmlns:wp14="http://schemas.microsoft.com/office/word/2010/wordml" w:rsidR="002A1B4E" w:rsidRDefault="00E23907" w14:paraId="388CD2CC" wp14:textId="77777777">
      <w:r>
        <w:t xml:space="preserve">Social Value Act 2013.  </w:t>
      </w:r>
    </w:p>
    <w:p xmlns:wp14="http://schemas.microsoft.com/office/word/2010/wordml" w:rsidR="00F91DB9" w:rsidRDefault="00E23907" w14:paraId="3A594D19" wp14:textId="77777777">
      <w:r>
        <w:t xml:space="preserve">This Act requires public sector </w:t>
      </w:r>
      <w:r w:rsidR="002A1B4E">
        <w:t>organisations to</w:t>
      </w:r>
      <w:r>
        <w:t xml:space="preserve"> measure </w:t>
      </w:r>
      <w:r w:rsidR="002A1B4E">
        <w:t>social</w:t>
      </w:r>
      <w:r>
        <w:t>, economic and environmental impact when they procure services</w:t>
      </w:r>
      <w:r w:rsidR="00F91DB9">
        <w:t xml:space="preserve"> (xx insert link)</w:t>
      </w:r>
      <w:r>
        <w:t>.</w:t>
      </w:r>
      <w:r w:rsidR="00F91DB9">
        <w:t xml:space="preserve">  Disabled (and other people with protected characteristics) are likely to be significant under the first two headings.  Organisations bidding for such public sector contracts may </w:t>
      </w:r>
      <w:r w:rsidR="002A1B4E">
        <w:t xml:space="preserve">be more successful when they can </w:t>
      </w:r>
      <w:r w:rsidR="00F91DB9">
        <w:t>evidence the social value they will contribute.</w:t>
      </w:r>
    </w:p>
    <w:p xmlns:wp14="http://schemas.microsoft.com/office/word/2010/wordml" w:rsidR="00F91DB9" w:rsidRDefault="00F91DB9" w14:paraId="02EB378F" wp14:textId="77777777" wp14:noSpellErr="1"/>
    <w:p w:rsidR="15A6212E" w:rsidP="15A6212E" w:rsidRDefault="15A6212E" w14:paraId="3DCFA6B0" w14:textId="5DF14CBC">
      <w:pPr>
        <w:pStyle w:val="Normal"/>
      </w:pPr>
      <w:r>
        <w:drawing>
          <wp:inline wp14:editId="2F166594" wp14:anchorId="59D8B1C8">
            <wp:extent cx="1038225" cy="295275"/>
            <wp:effectExtent l="0" t="0" r="0" b="0"/>
            <wp:docPr id="791736169" name="" title=""/>
            <wp:cNvGraphicFramePr>
              <a:graphicFrameLocks noChangeAspect="1"/>
            </wp:cNvGraphicFramePr>
            <a:graphic>
              <a:graphicData uri="http://schemas.openxmlformats.org/drawingml/2006/picture">
                <pic:pic>
                  <pic:nvPicPr>
                    <pic:cNvPr id="0" name=""/>
                    <pic:cNvPicPr/>
                  </pic:nvPicPr>
                  <pic:blipFill>
                    <a:blip r:embed="R519dbc8870b24af3">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F91DB9">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035"/>
    <w:multiLevelType w:val="hybridMultilevel"/>
    <w:tmpl w:val="33BAD5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4F07DDD"/>
    <w:multiLevelType w:val="hybridMultilevel"/>
    <w:tmpl w:val="BB682F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D9"/>
    <w:rsid w:val="0004342C"/>
    <w:rsid w:val="00191945"/>
    <w:rsid w:val="0023398F"/>
    <w:rsid w:val="002A1B4E"/>
    <w:rsid w:val="003E02E3"/>
    <w:rsid w:val="005C3382"/>
    <w:rsid w:val="00780438"/>
    <w:rsid w:val="009468D9"/>
    <w:rsid w:val="00AC205D"/>
    <w:rsid w:val="00D87792"/>
    <w:rsid w:val="00E23907"/>
    <w:rsid w:val="00F577C9"/>
    <w:rsid w:val="00F91DB9"/>
    <w:rsid w:val="00F92F85"/>
    <w:rsid w:val="15A621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BF26F37-361A-458B-A1A9-AF517A73A76F}"/>
  <w14:docId w14:val="3A4A9A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519dbc8870b24a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Disability policy  and practice</dc:title>
  <dc:subject/>
  <dc:creator>penny</dc:creator>
  <keywords/>
  <dc:description/>
  <lastModifiedBy>Penny Melville-Brown</lastModifiedBy>
  <revision>5</revision>
  <dcterms:created xsi:type="dcterms:W3CDTF">2020-11-30T11:05:00.0000000Z</dcterms:created>
  <dcterms:modified xsi:type="dcterms:W3CDTF">2020-11-30T11:06:21.4737630Z</dcterms:modified>
</coreProperties>
</file>