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p14">
  <w:body>
    <w:p xmlns:wp14="http://schemas.microsoft.com/office/word/2010/wordml" w:rsidRPr="00A05E55" w:rsidR="00EF6BE3" w:rsidRDefault="00AC0B12" w14:paraId="22E6BFB6" wp14:textId="77777777">
      <w:pPr>
        <w:rPr>
          <w:b/>
          <w:sz w:val="22"/>
          <w:szCs w:val="22"/>
        </w:rPr>
      </w:pPr>
      <w:r w:rsidRPr="00A05E55">
        <w:rPr>
          <w:b/>
          <w:sz w:val="22"/>
          <w:szCs w:val="22"/>
        </w:rPr>
        <w:t>Model Approach</w:t>
      </w:r>
    </w:p>
    <w:p xmlns:wp14="http://schemas.microsoft.com/office/word/2010/wordml" w:rsidRPr="00A05E55" w:rsidR="000A1B79" w:rsidRDefault="000A1B79" w14:paraId="672A6659" wp14:textId="77777777">
      <w:pPr>
        <w:rPr>
          <w:sz w:val="22"/>
          <w:szCs w:val="22"/>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268"/>
        <w:gridCol w:w="2268"/>
      </w:tblGrid>
      <w:tr xmlns:wp14="http://schemas.microsoft.com/office/word/2010/wordml" w:rsidRPr="00A607BE" w:rsidR="00AC0B12" w:rsidTr="00A607BE" w14:paraId="1E5860F8" wp14:textId="77777777">
        <w:trPr>
          <w:trHeight w:val="2268" w:hRule="exact"/>
          <w:jc w:val="center"/>
        </w:trPr>
        <w:tc>
          <w:tcPr>
            <w:tcW w:w="2268" w:type="dxa"/>
            <w:shd w:val="clear" w:color="auto" w:fill="auto"/>
          </w:tcPr>
          <w:p w:rsidRPr="00A607BE" w:rsidR="000B0A78" w:rsidRDefault="00C75CE4" w14:paraId="217C1E0A" wp14:textId="77777777">
            <w:pPr>
              <w:rPr>
                <w:sz w:val="22"/>
                <w:szCs w:val="22"/>
              </w:rPr>
            </w:pPr>
            <w:r w:rsidRPr="00A607BE">
              <w:rPr>
                <w:noProof/>
                <w:sz w:val="22"/>
                <w:szCs w:val="22"/>
              </w:rPr>
              <mc:AlternateContent>
                <mc:Choice Requires="wps">
                  <w:drawing>
                    <wp:anchor xmlns:wp14="http://schemas.microsoft.com/office/word/2010/wordprocessingDrawing" distT="0" distB="0" distL="114300" distR="114300" simplePos="0" relativeHeight="251657728" behindDoc="0" locked="0" layoutInCell="1" allowOverlap="1" wp14:anchorId="751FE850" wp14:editId="7777777">
                      <wp:simplePos x="0" y="0"/>
                      <wp:positionH relativeFrom="column">
                        <wp:posOffset>-74930</wp:posOffset>
                      </wp:positionH>
                      <wp:positionV relativeFrom="paragraph">
                        <wp:posOffset>-7620</wp:posOffset>
                      </wp:positionV>
                      <wp:extent cx="1437005" cy="1437005"/>
                      <wp:effectExtent l="10795" t="11430" r="9525" b="8890"/>
                      <wp:wrapNone/>
                      <wp:docPr id="1"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37005" cy="1437005"/>
                              </a:xfrm>
                              <a:custGeom>
                                <a:avLst/>
                                <a:gdLst>
                                  <a:gd name="T0" fmla="*/ 0 w 2263"/>
                                  <a:gd name="T1" fmla="*/ 2263 h 2263"/>
                                  <a:gd name="T2" fmla="*/ 2263 w 2263"/>
                                  <a:gd name="T3" fmla="*/ 0 h 2263"/>
                                </a:gdLst>
                                <a:ahLst/>
                                <a:cxnLst>
                                  <a:cxn ang="0">
                                    <a:pos x="T0" y="T1"/>
                                  </a:cxn>
                                  <a:cxn ang="0">
                                    <a:pos x="T2" y="T3"/>
                                  </a:cxn>
                                </a:cxnLst>
                                <a:rect l="0" t="0" r="r" b="b"/>
                                <a:pathLst>
                                  <a:path w="2263" h="2263">
                                    <a:moveTo>
                                      <a:pt x="0" y="2263"/>
                                    </a:moveTo>
                                    <a:lnTo>
                                      <a:pt x="2263" y="0"/>
                                    </a:lnTo>
                                  </a:path>
                                </a:pathLst>
                              </a:custGeom>
                              <a:noFill/>
                              <a:ln w="12700">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5FB7AA44">
                    <v:polyline id="Freeform 4"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63,2263" o:spid="_x0000_s1026" filled="f" strokeweight="1pt" points="-5.9pt,112.55pt,107.25pt,-.6pt" w14:anchorId="76B3882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">
                      <v:path arrowok="t" o:connecttype="custom" o:connectlocs="0,1437005;1437005,0" o:connectangles="0,0"/>
                    </v:polyline>
                  </w:pict>
                </mc:Fallback>
              </mc:AlternateContent>
            </w:r>
          </w:p>
          <w:p w:rsidRPr="00A607BE" w:rsidR="000B0A78" w:rsidRDefault="000B0A78" w14:paraId="0A37501D" wp14:textId="77777777">
            <w:pPr>
              <w:rPr>
                <w:sz w:val="22"/>
                <w:szCs w:val="22"/>
              </w:rPr>
            </w:pPr>
          </w:p>
          <w:p w:rsidRPr="00A607BE" w:rsidR="000B0A78" w:rsidRDefault="00AC0B12" w14:paraId="013DD242" wp14:textId="77777777">
            <w:pPr>
              <w:rPr>
                <w:b/>
                <w:sz w:val="22"/>
                <w:szCs w:val="22"/>
              </w:rPr>
            </w:pPr>
            <w:r w:rsidRPr="00A607BE">
              <w:rPr>
                <w:b/>
                <w:sz w:val="22"/>
                <w:szCs w:val="22"/>
              </w:rPr>
              <w:t>Attitudes</w:t>
            </w:r>
          </w:p>
          <w:p w:rsidRPr="00A607BE" w:rsidR="000B0A78" w:rsidRDefault="000B0A78" w14:paraId="5DAB6C7B" wp14:textId="77777777">
            <w:pPr>
              <w:rPr>
                <w:sz w:val="22"/>
                <w:szCs w:val="22"/>
              </w:rPr>
            </w:pPr>
          </w:p>
          <w:p w:rsidRPr="00A607BE" w:rsidR="000B0A78" w:rsidRDefault="000B0A78" w14:paraId="02EB378F" wp14:textId="77777777">
            <w:pPr>
              <w:rPr>
                <w:sz w:val="22"/>
                <w:szCs w:val="22"/>
              </w:rPr>
            </w:pPr>
          </w:p>
          <w:p w:rsidRPr="00A607BE" w:rsidR="000B0A78" w:rsidRDefault="000B0A78" w14:paraId="6A05A809" wp14:textId="77777777">
            <w:pPr>
              <w:rPr>
                <w:sz w:val="22"/>
                <w:szCs w:val="22"/>
              </w:rPr>
            </w:pPr>
          </w:p>
          <w:p w:rsidRPr="00A607BE" w:rsidR="000B0A78" w:rsidRDefault="000B0A78" w14:paraId="1A441D17" wp14:textId="77777777">
            <w:pPr>
              <w:rPr>
                <w:sz w:val="22"/>
                <w:szCs w:val="22"/>
              </w:rPr>
            </w:pPr>
            <w:r w:rsidRPr="00A607BE">
              <w:rPr>
                <w:sz w:val="22"/>
                <w:szCs w:val="22"/>
              </w:rPr>
              <w:tab/>
            </w:r>
            <w:r w:rsidRPr="00A607BE">
              <w:rPr>
                <w:sz w:val="22"/>
                <w:szCs w:val="22"/>
              </w:rPr>
              <w:t>Individuals</w:t>
            </w:r>
          </w:p>
        </w:tc>
        <w:tc>
          <w:tcPr>
            <w:tcW w:w="2268" w:type="dxa"/>
            <w:shd w:val="clear" w:color="auto" w:fill="auto"/>
            <w:vAlign w:val="center"/>
          </w:tcPr>
          <w:p w:rsidRPr="00A607BE" w:rsidR="00AC0B12" w:rsidP="00A607BE" w:rsidRDefault="00AC0B12" w14:paraId="3CACDAF6" wp14:textId="77777777">
            <w:pPr>
              <w:jc w:val="center"/>
              <w:rPr>
                <w:b/>
                <w:sz w:val="22"/>
                <w:szCs w:val="22"/>
              </w:rPr>
            </w:pPr>
            <w:r w:rsidRPr="00A607BE">
              <w:rPr>
                <w:b/>
                <w:sz w:val="22"/>
                <w:szCs w:val="22"/>
              </w:rPr>
              <w:t>Communication</w:t>
            </w:r>
          </w:p>
        </w:tc>
      </w:tr>
      <w:tr xmlns:wp14="http://schemas.microsoft.com/office/word/2010/wordml" w:rsidRPr="00A607BE" w:rsidR="00AC0B12" w:rsidTr="00A607BE" w14:paraId="6EDC5861" wp14:textId="77777777">
        <w:trPr>
          <w:trHeight w:val="2268" w:hRule="exact"/>
          <w:jc w:val="center"/>
        </w:trPr>
        <w:tc>
          <w:tcPr>
            <w:tcW w:w="2268" w:type="dxa"/>
            <w:shd w:val="clear" w:color="auto" w:fill="auto"/>
            <w:vAlign w:val="center"/>
          </w:tcPr>
          <w:p w:rsidRPr="00A607BE" w:rsidR="00AC0B12" w:rsidP="00A607BE" w:rsidRDefault="00AC0B12" w14:paraId="7C7255D6" wp14:textId="77777777">
            <w:pPr>
              <w:jc w:val="center"/>
              <w:rPr>
                <w:b/>
                <w:sz w:val="22"/>
                <w:szCs w:val="22"/>
              </w:rPr>
            </w:pPr>
            <w:r w:rsidRPr="00A607BE">
              <w:rPr>
                <w:b/>
                <w:sz w:val="22"/>
                <w:szCs w:val="22"/>
              </w:rPr>
              <w:t>Environment</w:t>
            </w:r>
          </w:p>
        </w:tc>
        <w:tc>
          <w:tcPr>
            <w:tcW w:w="2268" w:type="dxa"/>
            <w:shd w:val="clear" w:color="auto" w:fill="auto"/>
            <w:vAlign w:val="center"/>
          </w:tcPr>
          <w:p w:rsidRPr="00A607BE" w:rsidR="00AC0B12" w:rsidP="00A607BE" w:rsidRDefault="00AC0B12" w14:paraId="5935792F" wp14:textId="77777777">
            <w:pPr>
              <w:jc w:val="center"/>
              <w:rPr>
                <w:b/>
                <w:sz w:val="22"/>
                <w:szCs w:val="22"/>
              </w:rPr>
            </w:pPr>
            <w:r w:rsidRPr="00A607BE">
              <w:rPr>
                <w:b/>
                <w:sz w:val="22"/>
                <w:szCs w:val="22"/>
              </w:rPr>
              <w:t>Policies, practices and procedures</w:t>
            </w:r>
          </w:p>
        </w:tc>
      </w:tr>
    </w:tbl>
    <w:p xmlns:wp14="http://schemas.microsoft.com/office/word/2010/wordml" w:rsidRPr="00A05E55" w:rsidR="00AC0B12" w:rsidRDefault="00AC0B12" w14:paraId="5A39BBE3" wp14:textId="77777777">
      <w:pPr>
        <w:rPr>
          <w:sz w:val="22"/>
          <w:szCs w:val="22"/>
        </w:rPr>
      </w:pPr>
    </w:p>
    <w:p xmlns:wp14="http://schemas.microsoft.com/office/word/2010/wordml" w:rsidRPr="00A05E55" w:rsidR="00AC0B12" w:rsidRDefault="00451C7E" w14:paraId="741A31E9" wp14:textId="77777777">
      <w:pPr>
        <w:rPr>
          <w:sz w:val="22"/>
          <w:szCs w:val="22"/>
        </w:rPr>
      </w:pPr>
      <w:r w:rsidRPr="00A05E55">
        <w:rPr>
          <w:sz w:val="22"/>
          <w:szCs w:val="22"/>
        </w:rPr>
        <w:t>1.</w:t>
      </w:r>
      <w:r w:rsidRPr="00A05E55">
        <w:rPr>
          <w:sz w:val="22"/>
          <w:szCs w:val="22"/>
        </w:rPr>
        <w:tab/>
      </w:r>
      <w:r w:rsidR="0063291E">
        <w:rPr>
          <w:sz w:val="22"/>
          <w:szCs w:val="22"/>
        </w:rPr>
        <w:t xml:space="preserve">This </w:t>
      </w:r>
      <w:r w:rsidRPr="00A05E55" w:rsidR="00AC0B12">
        <w:rPr>
          <w:sz w:val="22"/>
          <w:szCs w:val="22"/>
        </w:rPr>
        <w:t xml:space="preserve">model </w:t>
      </w:r>
      <w:r w:rsidR="0063291E">
        <w:rPr>
          <w:sz w:val="22"/>
          <w:szCs w:val="22"/>
        </w:rPr>
        <w:t xml:space="preserve">was originally developed in relation to disabled people </w:t>
      </w:r>
      <w:r w:rsidRPr="00A05E55" w:rsidR="00AC0B12">
        <w:rPr>
          <w:sz w:val="22"/>
          <w:szCs w:val="22"/>
        </w:rPr>
        <w:t xml:space="preserve">but </w:t>
      </w:r>
      <w:r w:rsidR="0063291E">
        <w:rPr>
          <w:sz w:val="22"/>
          <w:szCs w:val="22"/>
        </w:rPr>
        <w:t xml:space="preserve">it clearly </w:t>
      </w:r>
      <w:r w:rsidRPr="00A05E55" w:rsidR="00AC0B12">
        <w:rPr>
          <w:sz w:val="22"/>
          <w:szCs w:val="22"/>
        </w:rPr>
        <w:t>applies to all aspects of equality and diversity.</w:t>
      </w:r>
    </w:p>
    <w:p xmlns:wp14="http://schemas.microsoft.com/office/word/2010/wordml" w:rsidRPr="00A05E55" w:rsidR="00451C7E" w:rsidRDefault="00451C7E" w14:paraId="41C8F396" wp14:textId="77777777">
      <w:pPr>
        <w:rPr>
          <w:sz w:val="22"/>
          <w:szCs w:val="22"/>
        </w:rPr>
      </w:pPr>
    </w:p>
    <w:p xmlns:wp14="http://schemas.microsoft.com/office/word/2010/wordml" w:rsidRPr="00A05E55" w:rsidR="00AC0B12" w:rsidRDefault="00451C7E" w14:paraId="7395004F" wp14:textId="77777777">
      <w:pPr>
        <w:rPr>
          <w:sz w:val="22"/>
          <w:szCs w:val="22"/>
        </w:rPr>
      </w:pPr>
      <w:r w:rsidRPr="00A05E55">
        <w:rPr>
          <w:sz w:val="22"/>
          <w:szCs w:val="22"/>
        </w:rPr>
        <w:t>2.</w:t>
      </w:r>
      <w:r w:rsidRPr="00A05E55">
        <w:rPr>
          <w:sz w:val="22"/>
          <w:szCs w:val="22"/>
        </w:rPr>
        <w:tab/>
      </w:r>
      <w:r w:rsidRPr="00A05E55" w:rsidR="00AC0B12">
        <w:rPr>
          <w:sz w:val="22"/>
          <w:szCs w:val="22"/>
        </w:rPr>
        <w:t>The square is divided in to four quarters covering:</w:t>
      </w:r>
    </w:p>
    <w:p xmlns:wp14="http://schemas.microsoft.com/office/word/2010/wordml" w:rsidRPr="00A05E55" w:rsidR="00AC0B12" w:rsidP="00AC0B12" w:rsidRDefault="00AC0B12" w14:paraId="5B2D207B" wp14:textId="77777777">
      <w:pPr>
        <w:numPr>
          <w:ilvl w:val="0"/>
          <w:numId w:val="1"/>
        </w:numPr>
        <w:rPr>
          <w:sz w:val="22"/>
          <w:szCs w:val="22"/>
        </w:rPr>
      </w:pPr>
      <w:r w:rsidRPr="00A05E55">
        <w:rPr>
          <w:b/>
          <w:sz w:val="22"/>
          <w:szCs w:val="22"/>
        </w:rPr>
        <w:t>Attitudes</w:t>
      </w:r>
      <w:r w:rsidRPr="00A05E55" w:rsidR="00206831">
        <w:rPr>
          <w:sz w:val="22"/>
          <w:szCs w:val="22"/>
        </w:rPr>
        <w:t xml:space="preserve">.  </w:t>
      </w:r>
      <w:r w:rsidRPr="00A05E55">
        <w:rPr>
          <w:sz w:val="22"/>
          <w:szCs w:val="22"/>
        </w:rPr>
        <w:t>This quarter is further sub-</w:t>
      </w:r>
      <w:r w:rsidRPr="00A05E55" w:rsidR="00206831">
        <w:rPr>
          <w:sz w:val="22"/>
          <w:szCs w:val="22"/>
        </w:rPr>
        <w:t>divided in two</w:t>
      </w:r>
      <w:r w:rsidRPr="00A05E55">
        <w:rPr>
          <w:sz w:val="22"/>
          <w:szCs w:val="22"/>
        </w:rPr>
        <w:t xml:space="preserve"> for:</w:t>
      </w:r>
    </w:p>
    <w:p xmlns:wp14="http://schemas.microsoft.com/office/word/2010/wordml" w:rsidRPr="00A05E55" w:rsidR="00AC0B12" w:rsidP="00AC0B12" w:rsidRDefault="00AC0B12" w14:paraId="39AF4146" wp14:textId="77777777">
      <w:pPr>
        <w:numPr>
          <w:ilvl w:val="1"/>
          <w:numId w:val="1"/>
        </w:numPr>
        <w:rPr>
          <w:sz w:val="22"/>
          <w:szCs w:val="22"/>
        </w:rPr>
      </w:pPr>
      <w:r w:rsidRPr="00A05E55">
        <w:rPr>
          <w:b/>
          <w:sz w:val="22"/>
          <w:szCs w:val="22"/>
        </w:rPr>
        <w:t>Employers and service providers.</w:t>
      </w:r>
      <w:r w:rsidRPr="00A05E55">
        <w:rPr>
          <w:sz w:val="22"/>
          <w:szCs w:val="22"/>
        </w:rPr>
        <w:t xml:space="preserve">  The attitudes of people are expressed through their words and behaviour.  Many people from diversity groups find that the negative attitudes they experience are the most difficult barriers they experience.  Attitudes can range from two extremes: direct discrimination (from abuse and violence to deliberate expressions of prejudice) to more subtle </w:t>
      </w:r>
      <w:smartTag w:uri="urn:schemas-microsoft-com:office:smarttags" w:element="PersonName">
        <w:r w:rsidRPr="00A05E55" w:rsidR="00206831">
          <w:rPr>
            <w:sz w:val="22"/>
            <w:szCs w:val="22"/>
          </w:rPr>
          <w:t>pa</w:t>
        </w:r>
      </w:smartTag>
      <w:r w:rsidRPr="00A05E55" w:rsidR="00206831">
        <w:rPr>
          <w:sz w:val="22"/>
          <w:szCs w:val="22"/>
        </w:rPr>
        <w:t>tronising and</w:t>
      </w:r>
      <w:r w:rsidRPr="00A05E55">
        <w:rPr>
          <w:sz w:val="22"/>
          <w:szCs w:val="22"/>
        </w:rPr>
        <w:t xml:space="preserve"> over-protective behaviour.  The happy medium is when people treat each other with dignity and respect, offering help when </w:t>
      </w:r>
      <w:proofErr w:type="spellStart"/>
      <w:r w:rsidRPr="00A05E55">
        <w:rPr>
          <w:sz w:val="22"/>
          <w:szCs w:val="22"/>
        </w:rPr>
        <w:t>needed.</w:t>
      </w:r>
      <w:r w:rsidR="0063291E">
        <w:rPr>
          <w:sz w:val="22"/>
          <w:szCs w:val="22"/>
        </w:rPr>
        <w:t>”Treating</w:t>
      </w:r>
      <w:proofErr w:type="spellEnd"/>
      <w:r w:rsidR="0063291E">
        <w:rPr>
          <w:sz w:val="22"/>
          <w:szCs w:val="22"/>
        </w:rPr>
        <w:t xml:space="preserve"> everyone the same” is not always the answer as disabled people may need to be treated “better” through reasonable adjustments etc to give them the same chances. </w:t>
      </w:r>
    </w:p>
    <w:p xmlns:wp14="http://schemas.microsoft.com/office/word/2010/wordml" w:rsidR="00AC0B12" w:rsidP="00AC0B12" w:rsidRDefault="00AC0B12" w14:paraId="4A115121" wp14:textId="77777777">
      <w:pPr>
        <w:numPr>
          <w:ilvl w:val="1"/>
          <w:numId w:val="1"/>
        </w:numPr>
        <w:rPr>
          <w:sz w:val="22"/>
          <w:szCs w:val="22"/>
        </w:rPr>
      </w:pPr>
      <w:r w:rsidRPr="00A05E55">
        <w:rPr>
          <w:b/>
          <w:sz w:val="22"/>
          <w:szCs w:val="22"/>
        </w:rPr>
        <w:t>Diverse individuals.</w:t>
      </w:r>
      <w:r w:rsidRPr="00A05E55">
        <w:rPr>
          <w:sz w:val="22"/>
          <w:szCs w:val="22"/>
        </w:rPr>
        <w:t xml:space="preserve">  The attitudes of the individuals from different diversity groups also need to be taken in to account.  Again, these can vary from some feeling frustrated to others having low self-confidence – both often caused by their previous experiences.</w:t>
      </w:r>
      <w:r w:rsidR="0063291E">
        <w:rPr>
          <w:sz w:val="22"/>
          <w:szCs w:val="22"/>
        </w:rPr>
        <w:t xml:space="preserve">  They can have their own range of attitudes: from apathy to anger and all the variations in-between.</w:t>
      </w:r>
    </w:p>
    <w:p xmlns:wp14="http://schemas.microsoft.com/office/word/2010/wordml" w:rsidRPr="00A05E55" w:rsidR="00477C48" w:rsidP="00AC0B12" w:rsidRDefault="00477C48" w14:paraId="51C0007A" wp14:textId="77777777">
      <w:pPr>
        <w:numPr>
          <w:ilvl w:val="1"/>
          <w:numId w:val="1"/>
        </w:numPr>
        <w:rPr>
          <w:sz w:val="22"/>
          <w:szCs w:val="22"/>
        </w:rPr>
      </w:pPr>
      <w:r>
        <w:rPr>
          <w:b/>
          <w:sz w:val="22"/>
          <w:szCs w:val="22"/>
        </w:rPr>
        <w:t>Positive Attitudes.</w:t>
      </w:r>
      <w:r>
        <w:rPr>
          <w:sz w:val="22"/>
          <w:szCs w:val="22"/>
        </w:rPr>
        <w:t xml:space="preserve">  Treating disabled people well reduces the risk of direct discrimination, victimisation or harassment</w:t>
      </w:r>
      <w:r w:rsidR="0063291E">
        <w:rPr>
          <w:sz w:val="22"/>
          <w:szCs w:val="22"/>
        </w:rPr>
        <w:t xml:space="preserve"> which are all unlawful</w:t>
      </w:r>
      <w:r>
        <w:rPr>
          <w:sz w:val="22"/>
          <w:szCs w:val="22"/>
        </w:rPr>
        <w:t xml:space="preserve">.  </w:t>
      </w:r>
    </w:p>
    <w:p xmlns:wp14="http://schemas.microsoft.com/office/word/2010/wordml" w:rsidR="00AC0B12" w:rsidP="00AC0B12" w:rsidRDefault="00AC0B12" w14:paraId="1EB0460E" wp14:textId="77777777">
      <w:pPr>
        <w:numPr>
          <w:ilvl w:val="0"/>
          <w:numId w:val="1"/>
        </w:numPr>
        <w:rPr>
          <w:sz w:val="22"/>
          <w:szCs w:val="22"/>
        </w:rPr>
      </w:pPr>
      <w:r w:rsidRPr="00A05E55">
        <w:rPr>
          <w:b/>
          <w:sz w:val="22"/>
          <w:szCs w:val="22"/>
        </w:rPr>
        <w:t>Communications</w:t>
      </w:r>
      <w:r w:rsidRPr="00A05E55">
        <w:rPr>
          <w:sz w:val="22"/>
          <w:szCs w:val="22"/>
        </w:rPr>
        <w:t>.  This covers the various means of communicating with diverse groups, the content and language plus the outlets used.  Limiting communication channels can mean that some diversity groups are excluded from the outset.</w:t>
      </w:r>
    </w:p>
    <w:p xmlns:wp14="http://schemas.microsoft.com/office/word/2010/wordml" w:rsidRPr="00A05E55" w:rsidR="00477C48" w:rsidP="00477C48" w:rsidRDefault="00477C48" w14:paraId="61EC4F32" wp14:textId="77777777">
      <w:pPr>
        <w:numPr>
          <w:ilvl w:val="1"/>
          <w:numId w:val="1"/>
        </w:numPr>
        <w:rPr>
          <w:sz w:val="22"/>
          <w:szCs w:val="22"/>
        </w:rPr>
      </w:pPr>
      <w:r w:rsidRPr="00477C48">
        <w:rPr>
          <w:b/>
          <w:sz w:val="22"/>
          <w:szCs w:val="22"/>
        </w:rPr>
        <w:t>Inclusive Communications</w:t>
      </w:r>
      <w:r>
        <w:rPr>
          <w:b/>
          <w:sz w:val="22"/>
          <w:szCs w:val="22"/>
        </w:rPr>
        <w:t xml:space="preserve">. </w:t>
      </w:r>
      <w:r>
        <w:rPr>
          <w:sz w:val="22"/>
          <w:szCs w:val="22"/>
        </w:rPr>
        <w:t xml:space="preserve">Providing information in alternative formats and improving other communication methods helps fulfil “reasonable adjustment” duties required by law. </w:t>
      </w:r>
    </w:p>
    <w:p xmlns:wp14="http://schemas.microsoft.com/office/word/2010/wordml" w:rsidR="00AC0B12" w:rsidP="00AC0B12" w:rsidRDefault="00AC0B12" w14:paraId="029D0FF8" wp14:textId="77777777">
      <w:pPr>
        <w:numPr>
          <w:ilvl w:val="0"/>
          <w:numId w:val="1"/>
        </w:numPr>
        <w:rPr>
          <w:sz w:val="22"/>
          <w:szCs w:val="22"/>
        </w:rPr>
      </w:pPr>
      <w:r w:rsidRPr="00A05E55">
        <w:rPr>
          <w:b/>
          <w:sz w:val="22"/>
          <w:szCs w:val="22"/>
        </w:rPr>
        <w:t>Environment</w:t>
      </w:r>
      <w:r w:rsidRPr="00A05E55">
        <w:rPr>
          <w:sz w:val="22"/>
          <w:szCs w:val="22"/>
        </w:rPr>
        <w:t xml:space="preserve">.  This covers venues themselves and all aspects of accessibility (including lighting, noise, lifts and ramps) but also broader issues of access such as </w:t>
      </w:r>
      <w:smartTag w:uri="urn:schemas-microsoft-com:office:smarttags" w:element="PersonName">
        <w:r w:rsidRPr="00A05E55">
          <w:rPr>
            <w:sz w:val="22"/>
            <w:szCs w:val="22"/>
          </w:rPr>
          <w:t>pa</w:t>
        </w:r>
      </w:smartTag>
      <w:r w:rsidRPr="00A05E55">
        <w:rPr>
          <w:sz w:val="22"/>
          <w:szCs w:val="22"/>
        </w:rPr>
        <w:t>rking, public transport and geographical location.  Other needs such as prayer facilities, child-</w:t>
      </w:r>
      <w:r w:rsidRPr="00A05E55" w:rsidR="00206831">
        <w:rPr>
          <w:sz w:val="22"/>
          <w:szCs w:val="22"/>
        </w:rPr>
        <w:t>care and</w:t>
      </w:r>
      <w:r w:rsidRPr="00A05E55">
        <w:rPr>
          <w:sz w:val="22"/>
          <w:szCs w:val="22"/>
        </w:rPr>
        <w:t xml:space="preserve"> appropriate food choices may also be required depending on the use of the environment.</w:t>
      </w:r>
    </w:p>
    <w:p xmlns:wp14="http://schemas.microsoft.com/office/word/2010/wordml" w:rsidRPr="00A05E55" w:rsidR="00477C48" w:rsidP="00477C48" w:rsidRDefault="00477C48" w14:paraId="04B6708E" wp14:textId="77777777">
      <w:pPr>
        <w:numPr>
          <w:ilvl w:val="1"/>
          <w:numId w:val="1"/>
        </w:numPr>
        <w:rPr>
          <w:sz w:val="22"/>
          <w:szCs w:val="22"/>
        </w:rPr>
      </w:pPr>
      <w:r>
        <w:rPr>
          <w:b/>
          <w:sz w:val="22"/>
          <w:szCs w:val="22"/>
        </w:rPr>
        <w:t xml:space="preserve">Accessible premises. </w:t>
      </w:r>
      <w:r w:rsidRPr="00477C48">
        <w:rPr>
          <w:sz w:val="22"/>
          <w:szCs w:val="22"/>
        </w:rPr>
        <w:t xml:space="preserve"> Ensuring</w:t>
      </w:r>
      <w:r>
        <w:rPr>
          <w:sz w:val="22"/>
          <w:szCs w:val="22"/>
        </w:rPr>
        <w:t xml:space="preserve"> that </w:t>
      </w:r>
      <w:r w:rsidR="0063291E">
        <w:rPr>
          <w:sz w:val="22"/>
          <w:szCs w:val="22"/>
        </w:rPr>
        <w:t xml:space="preserve">the places where </w:t>
      </w:r>
      <w:r>
        <w:rPr>
          <w:sz w:val="22"/>
          <w:szCs w:val="22"/>
        </w:rPr>
        <w:t xml:space="preserve">people work or receive services </w:t>
      </w:r>
      <w:r w:rsidR="0063291E">
        <w:rPr>
          <w:sz w:val="22"/>
          <w:szCs w:val="22"/>
        </w:rPr>
        <w:t xml:space="preserve">are </w:t>
      </w:r>
      <w:r>
        <w:rPr>
          <w:sz w:val="22"/>
          <w:szCs w:val="22"/>
        </w:rPr>
        <w:t xml:space="preserve">accessible helps fulfil “reasonable adjustment” duties required by law – and welcomes everyone. </w:t>
      </w:r>
    </w:p>
    <w:p xmlns:wp14="http://schemas.microsoft.com/office/word/2010/wordml" w:rsidR="00451C7E" w:rsidP="00AC0B12" w:rsidRDefault="00477C48" w14:paraId="7A804BBA" wp14:textId="77777777">
      <w:pPr>
        <w:numPr>
          <w:ilvl w:val="0"/>
          <w:numId w:val="1"/>
        </w:numPr>
        <w:rPr>
          <w:sz w:val="22"/>
          <w:szCs w:val="22"/>
        </w:rPr>
      </w:pPr>
      <w:r>
        <w:rPr>
          <w:b/>
          <w:sz w:val="22"/>
          <w:szCs w:val="22"/>
        </w:rPr>
        <w:br w:type="page"/>
      </w:r>
      <w:r w:rsidRPr="00A05E55" w:rsidR="00206831">
        <w:rPr>
          <w:b/>
          <w:sz w:val="22"/>
          <w:szCs w:val="22"/>
        </w:rPr>
        <w:t>Policies, practices</w:t>
      </w:r>
      <w:r w:rsidRPr="00A05E55" w:rsidR="00AC0B12">
        <w:rPr>
          <w:b/>
          <w:sz w:val="22"/>
          <w:szCs w:val="22"/>
        </w:rPr>
        <w:t xml:space="preserve"> and procedures</w:t>
      </w:r>
      <w:r w:rsidRPr="00A05E55" w:rsidR="00AC0B12">
        <w:rPr>
          <w:sz w:val="22"/>
          <w:szCs w:val="22"/>
        </w:rPr>
        <w:t xml:space="preserve">.  These (plus communications and environment) can often be the source of </w:t>
      </w:r>
      <w:r w:rsidR="0063291E">
        <w:rPr>
          <w:sz w:val="22"/>
          <w:szCs w:val="22"/>
        </w:rPr>
        <w:t xml:space="preserve">unlawful </w:t>
      </w:r>
      <w:r w:rsidRPr="00A05E55" w:rsidR="00AC0B12">
        <w:rPr>
          <w:sz w:val="22"/>
          <w:szCs w:val="22"/>
        </w:rPr>
        <w:t>indirect discrimination</w:t>
      </w:r>
      <w:r w:rsidR="0063291E">
        <w:rPr>
          <w:sz w:val="22"/>
          <w:szCs w:val="22"/>
        </w:rPr>
        <w:t xml:space="preserve"> and risk victimisation too</w:t>
      </w:r>
      <w:r w:rsidRPr="00A05E55" w:rsidR="00AC0B12">
        <w:rPr>
          <w:sz w:val="22"/>
          <w:szCs w:val="22"/>
        </w:rPr>
        <w:t xml:space="preserve">.  The needs of all diversity groups </w:t>
      </w:r>
      <w:r w:rsidRPr="00A05E55" w:rsidR="00451C7E">
        <w:rPr>
          <w:sz w:val="22"/>
          <w:szCs w:val="22"/>
        </w:rPr>
        <w:t xml:space="preserve">should </w:t>
      </w:r>
      <w:r w:rsidRPr="00A05E55" w:rsidR="00AC0B12">
        <w:rPr>
          <w:sz w:val="22"/>
          <w:szCs w:val="22"/>
        </w:rPr>
        <w:t xml:space="preserve">be considered whenever a policy is developed and embedding flexibility can help practices and procedures </w:t>
      </w:r>
      <w:r w:rsidRPr="00A05E55" w:rsidR="00206831">
        <w:rPr>
          <w:sz w:val="22"/>
          <w:szCs w:val="22"/>
        </w:rPr>
        <w:t>work while</w:t>
      </w:r>
      <w:r w:rsidRPr="00A05E55" w:rsidR="00AC0B12">
        <w:rPr>
          <w:sz w:val="22"/>
          <w:szCs w:val="22"/>
        </w:rPr>
        <w:t xml:space="preserve"> still accommodating </w:t>
      </w:r>
      <w:r w:rsidRPr="00A05E55" w:rsidR="000B0A78">
        <w:rPr>
          <w:sz w:val="22"/>
          <w:szCs w:val="22"/>
        </w:rPr>
        <w:t>individual needs</w:t>
      </w:r>
      <w:r w:rsidRPr="00A05E55" w:rsidR="00451C7E">
        <w:rPr>
          <w:sz w:val="22"/>
          <w:szCs w:val="22"/>
        </w:rPr>
        <w:t>.</w:t>
      </w:r>
    </w:p>
    <w:p xmlns:wp14="http://schemas.microsoft.com/office/word/2010/wordml" w:rsidRPr="00477C48" w:rsidR="00477C48" w:rsidP="00477C48" w:rsidRDefault="00477C48" w14:paraId="43068D51" wp14:textId="77777777">
      <w:pPr>
        <w:numPr>
          <w:ilvl w:val="1"/>
          <w:numId w:val="1"/>
        </w:numPr>
        <w:rPr>
          <w:b/>
          <w:sz w:val="22"/>
          <w:szCs w:val="22"/>
        </w:rPr>
      </w:pPr>
      <w:r w:rsidRPr="00477C48">
        <w:rPr>
          <w:b/>
          <w:sz w:val="22"/>
          <w:szCs w:val="22"/>
        </w:rPr>
        <w:t>Be flexible.</w:t>
      </w:r>
      <w:r>
        <w:rPr>
          <w:b/>
          <w:sz w:val="22"/>
          <w:szCs w:val="22"/>
        </w:rPr>
        <w:t xml:space="preserve">  </w:t>
      </w:r>
      <w:r>
        <w:rPr>
          <w:sz w:val="22"/>
          <w:szCs w:val="22"/>
        </w:rPr>
        <w:t>Avoiding mandatory requirements helps reduce the risk of indirect discrimination and gives flexibility to make changes for different individuals/circumstances.</w:t>
      </w:r>
      <w:r w:rsidR="0063291E">
        <w:rPr>
          <w:sz w:val="22"/>
          <w:szCs w:val="22"/>
        </w:rPr>
        <w:t xml:space="preserve">  Avoid policies etc that say something “must” be done unless you can defend that </w:t>
      </w:r>
      <w:r w:rsidR="00247EA6">
        <w:rPr>
          <w:sz w:val="22"/>
          <w:szCs w:val="22"/>
        </w:rPr>
        <w:t>statement; “normally” allows the system to be flexible.</w:t>
      </w:r>
    </w:p>
    <w:p xmlns:wp14="http://schemas.microsoft.com/office/word/2010/wordml" w:rsidR="00451C7E" w:rsidP="00451C7E" w:rsidRDefault="00451C7E" w14:paraId="72A3D3EC" wp14:textId="77777777">
      <w:pPr>
        <w:rPr>
          <w:sz w:val="22"/>
          <w:szCs w:val="22"/>
        </w:rPr>
      </w:pPr>
    </w:p>
    <w:p xmlns:wp14="http://schemas.microsoft.com/office/word/2010/wordml" w:rsidR="00130288" w:rsidP="00130288" w:rsidRDefault="00130288" w14:paraId="7B77CD12" wp14:textId="77777777">
      <w:pPr>
        <w:pStyle w:val="Pieddepage"/>
      </w:pPr>
      <w:r>
        <w:t>Tel: 01329 841814</w:t>
      </w:r>
    </w:p>
    <w:p xmlns:wp14="http://schemas.microsoft.com/office/word/2010/wordml" w:rsidR="00130288" w:rsidP="00130288" w:rsidRDefault="00130288" w14:paraId="36E15C5F" wp14:textId="77777777">
      <w:pPr>
        <w:pStyle w:val="Pieddepage"/>
      </w:pPr>
      <w:r>
        <w:t xml:space="preserve">Email: </w:t>
      </w:r>
      <w:hyperlink w:history="1" r:id="rId5">
        <w:r w:rsidRPr="00BA7E93">
          <w:rPr>
            <w:rStyle w:val="Lienhypertexte"/>
          </w:rPr>
          <w:t>penny@laylands.co.ukk</w:t>
        </w:r>
      </w:hyperlink>
    </w:p>
    <w:p xmlns:wp14="http://schemas.microsoft.com/office/word/2010/wordml" w:rsidRPr="00C52279" w:rsidR="00130288" w:rsidP="00130288" w:rsidRDefault="00130288" w14:paraId="2BBF4162" wp14:textId="77777777">
      <w:pPr>
        <w:pStyle w:val="Pieddepage"/>
      </w:pPr>
      <w:r>
        <w:t xml:space="preserve">Web site: </w:t>
      </w:r>
      <w:hyperlink w:history="1" r:id="rId6">
        <w:r w:rsidRPr="005E6D5B">
          <w:rPr>
            <w:rStyle w:val="Lienhypertexte"/>
          </w:rPr>
          <w:t>www.</w:t>
        </w:r>
        <w:r>
          <w:rPr>
            <w:rStyle w:val="Lienhypertexte"/>
          </w:rPr>
          <w:t>pennymelvillebrown.com</w:t>
        </w:r>
      </w:hyperlink>
      <w:r>
        <w:t xml:space="preserve"> </w:t>
      </w:r>
    </w:p>
    <w:p xmlns:wp14="http://schemas.microsoft.com/office/word/2010/wordml" w:rsidRPr="00A05E55" w:rsidR="00130288" w:rsidP="00451C7E" w:rsidRDefault="00130288" w14:paraId="0D0B940D" wp14:textId="77777777" wp14:noSpellErr="1">
      <w:pPr>
        <w:rPr>
          <w:sz w:val="22"/>
          <w:szCs w:val="22"/>
        </w:rPr>
      </w:pPr>
    </w:p>
    <w:p w:rsidR="43F3DC31" w:rsidP="43F3DC31" w:rsidRDefault="43F3DC31" w14:paraId="33E20293" w14:textId="355B4406">
      <w:pPr>
        <w:pStyle w:val="Normal"/>
      </w:pPr>
      <w:r>
        <w:drawing>
          <wp:inline wp14:editId="28B0E484" wp14:anchorId="17A26202">
            <wp:extent cx="1038225" cy="295275"/>
            <wp:effectExtent l="0" t="0" r="0" b="0"/>
            <wp:docPr id="1799131934" name="" title=""/>
            <wp:cNvGraphicFramePr>
              <a:graphicFrameLocks noChangeAspect="1"/>
            </wp:cNvGraphicFramePr>
            <a:graphic>
              <a:graphicData uri="http://schemas.openxmlformats.org/drawingml/2006/picture">
                <pic:pic>
                  <pic:nvPicPr>
                    <pic:cNvPr id="0" name=""/>
                    <pic:cNvPicPr/>
                  </pic:nvPicPr>
                  <pic:blipFill>
                    <a:blip r:embed="R6e896a1b809747da">
                      <a:extLst>
                        <a:ext xmlns:a="http://schemas.openxmlformats.org/drawingml/2006/main" uri="{28A0092B-C50C-407E-A947-70E740481C1C}">
                          <a14:useLocalDpi val="0"/>
                        </a:ext>
                      </a:extLst>
                    </a:blip>
                    <a:stretch>
                      <a:fillRect/>
                    </a:stretch>
                  </pic:blipFill>
                  <pic:spPr>
                    <a:xfrm>
                      <a:off x="0" y="0"/>
                      <a:ext cx="1038225" cy="295275"/>
                    </a:xfrm>
                    <a:prstGeom prst="rect">
                      <a:avLst/>
                    </a:prstGeom>
                  </pic:spPr>
                </pic:pic>
              </a:graphicData>
            </a:graphic>
          </wp:inline>
        </w:drawing>
      </w:r>
      <w:r w:rsidRPr="43F3DC31" w:rsidR="43F3DC31">
        <w:rPr>
          <w:sz w:val="22"/>
          <w:szCs w:val="22"/>
        </w:rPr>
        <w:t xml:space="preserve"> </w:t>
      </w:r>
    </w:p>
    <w:sectPr w:rsidRPr="00A05E55" w:rsidR="00130288" w:rsidSect="00C713AD">
      <w:pgSz w:w="11907" w:h="16840" w:orient="portrait" w:code="9"/>
      <w:pgMar w:top="1134" w:right="1134" w:bottom="1134" w:left="1134" w:header="567" w:footer="425"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A2"/>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AB1552F"/>
    <w:multiLevelType w:val="hybridMultilevel"/>
    <w:tmpl w:val="8A626B4A"/>
    <w:lvl w:ilvl="0" w:tplc="08090001">
      <w:start w:val="1"/>
      <w:numFmt w:val="bullet"/>
      <w:lvlText w:val=""/>
      <w:lvlJc w:val="left"/>
      <w:pPr>
        <w:tabs>
          <w:tab w:val="num" w:pos="720"/>
        </w:tabs>
        <w:ind w:left="720" w:hanging="360"/>
      </w:pPr>
      <w:rPr>
        <w:rFonts w:hint="default" w:ascii="Symbol" w:hAnsi="Symbol"/>
      </w:rPr>
    </w:lvl>
    <w:lvl w:ilvl="1" w:tplc="08090003">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trackRevisions w:val="fal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27"/>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B12"/>
    <w:rsid w:val="00016FEC"/>
    <w:rsid w:val="00021F39"/>
    <w:rsid w:val="00062FFD"/>
    <w:rsid w:val="00073963"/>
    <w:rsid w:val="000A1B79"/>
    <w:rsid w:val="000A5D24"/>
    <w:rsid w:val="000B0A78"/>
    <w:rsid w:val="0011599F"/>
    <w:rsid w:val="00130288"/>
    <w:rsid w:val="0015167E"/>
    <w:rsid w:val="00176E95"/>
    <w:rsid w:val="001B45F6"/>
    <w:rsid w:val="00206831"/>
    <w:rsid w:val="00237964"/>
    <w:rsid w:val="00247EA6"/>
    <w:rsid w:val="00264B84"/>
    <w:rsid w:val="00286F39"/>
    <w:rsid w:val="00296AEE"/>
    <w:rsid w:val="002A1245"/>
    <w:rsid w:val="002A1AE3"/>
    <w:rsid w:val="00366EC8"/>
    <w:rsid w:val="00451C7E"/>
    <w:rsid w:val="00477C48"/>
    <w:rsid w:val="00495B82"/>
    <w:rsid w:val="004D351A"/>
    <w:rsid w:val="005712BE"/>
    <w:rsid w:val="005B1D0E"/>
    <w:rsid w:val="005C486D"/>
    <w:rsid w:val="005D1712"/>
    <w:rsid w:val="0063291E"/>
    <w:rsid w:val="006444EC"/>
    <w:rsid w:val="006674E1"/>
    <w:rsid w:val="00692ED6"/>
    <w:rsid w:val="006D7979"/>
    <w:rsid w:val="006F56B7"/>
    <w:rsid w:val="00725118"/>
    <w:rsid w:val="00775C19"/>
    <w:rsid w:val="007C4BF3"/>
    <w:rsid w:val="007D7644"/>
    <w:rsid w:val="008878C0"/>
    <w:rsid w:val="008B059F"/>
    <w:rsid w:val="008D2662"/>
    <w:rsid w:val="008E4BE7"/>
    <w:rsid w:val="008F0420"/>
    <w:rsid w:val="009174C1"/>
    <w:rsid w:val="00A05E55"/>
    <w:rsid w:val="00A07A8C"/>
    <w:rsid w:val="00A2380B"/>
    <w:rsid w:val="00A35666"/>
    <w:rsid w:val="00A415AB"/>
    <w:rsid w:val="00A607BE"/>
    <w:rsid w:val="00A74DDF"/>
    <w:rsid w:val="00AC0B12"/>
    <w:rsid w:val="00AF3972"/>
    <w:rsid w:val="00B06490"/>
    <w:rsid w:val="00B07FC7"/>
    <w:rsid w:val="00BA4EEB"/>
    <w:rsid w:val="00BA51B8"/>
    <w:rsid w:val="00BA55A5"/>
    <w:rsid w:val="00BB18A4"/>
    <w:rsid w:val="00BC1CC7"/>
    <w:rsid w:val="00BE2F64"/>
    <w:rsid w:val="00BF0235"/>
    <w:rsid w:val="00BF3A81"/>
    <w:rsid w:val="00C360D0"/>
    <w:rsid w:val="00C61A97"/>
    <w:rsid w:val="00C713AD"/>
    <w:rsid w:val="00C75CE4"/>
    <w:rsid w:val="00CF2656"/>
    <w:rsid w:val="00D30F4E"/>
    <w:rsid w:val="00D82AF2"/>
    <w:rsid w:val="00D910E4"/>
    <w:rsid w:val="00DB4CB3"/>
    <w:rsid w:val="00E132C1"/>
    <w:rsid w:val="00E85DDA"/>
    <w:rsid w:val="00E866DF"/>
    <w:rsid w:val="00EC7209"/>
    <w:rsid w:val="00EF6BE3"/>
    <w:rsid w:val="00F46611"/>
    <w:rsid w:val="00F852D3"/>
    <w:rsid w:val="00FD4D23"/>
    <w:rsid w:val="43F3DC31"/>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15:chartTrackingRefBased/>
  <w15:docId w15:val="{CA3880ED-996C-45A6-BC95-8FF83758ACCC}"/>
  <w14:docId w14:val="602E65D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imes New Roman" w:hAnsi="Times New Roman" w:eastAsia="Times New Roman" w:cs="Times New Roman"/>
        <w:lang w:val="fr-FR"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Arial" w:hAnsi="Arial" w:cs="Arial"/>
      <w:sz w:val="24"/>
      <w:szCs w:val="24"/>
      <w:lang w:val="en-GB" w:eastAsia="en-GB"/>
    </w:rPr>
  </w:style>
  <w:style w:type="character" w:styleId="Policepardfaut" w:default="1">
    <w:name w:val="Default Paragraph Font"/>
    <w:semiHidden/>
  </w:style>
  <w:style w:type="table" w:styleId="TableauNormal" w:default="1">
    <w:name w:val="Normal Table"/>
    <w:semiHidden/>
    <w:tblPr>
      <w:tblInd w:w="0" w:type="dxa"/>
      <w:tblCellMar>
        <w:top w:w="0" w:type="dxa"/>
        <w:left w:w="108" w:type="dxa"/>
        <w:bottom w:w="0" w:type="dxa"/>
        <w:right w:w="108" w:type="dxa"/>
      </w:tblCellMar>
    </w:tblPr>
  </w:style>
  <w:style w:type="numbering" w:styleId="Aucuneliste" w:default="1">
    <w:name w:val="No List"/>
    <w:semiHidden/>
  </w:style>
  <w:style w:type="table" w:styleId="Grilledutableau">
    <w:name w:val="Table Grid"/>
    <w:basedOn w:val="TableauNormal"/>
    <w:rsid w:val="00AC0B1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Lienhypertexte">
    <w:name w:val="Hyperlink"/>
    <w:rsid w:val="00451C7E"/>
    <w:rPr>
      <w:color w:val="0000FF"/>
      <w:u w:val="single"/>
    </w:rPr>
  </w:style>
  <w:style w:type="paragraph" w:styleId="Pieddepage">
    <w:name w:val="footer"/>
    <w:basedOn w:val="Normal"/>
    <w:link w:val="PieddepageCar"/>
    <w:rsid w:val="00130288"/>
    <w:pPr>
      <w:tabs>
        <w:tab w:val="center" w:pos="4320"/>
        <w:tab w:val="right" w:pos="8640"/>
      </w:tabs>
    </w:pPr>
    <w:rPr>
      <w:rFonts w:cs="Times New Roman"/>
      <w:lang w:eastAsia="en-US"/>
    </w:rPr>
  </w:style>
  <w:style w:type="character" w:styleId="PieddepageCar" w:customStyle="1">
    <w:name w:val="Pied de page Car"/>
    <w:link w:val="Pieddepage"/>
    <w:rsid w:val="00130288"/>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http://www.disabilitydynamics.co.uk" TargetMode="External" Id="rId6" /><Relationship Type="http://schemas.openxmlformats.org/officeDocument/2006/relationships/hyperlink" Target="mailto:penny@laylands.co.ukk" TargetMode="External" Id="rId5" /><Relationship Type="http://schemas.openxmlformats.org/officeDocument/2006/relationships/webSettings" Target="webSettings.xml" Id="rId4" /><Relationship Type="http://schemas.openxmlformats.org/officeDocument/2006/relationships/image" Target="/media/image.png" Id="R6e896a1b809747d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Disability Dynamics</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Model Approach</dc:title>
  <dc:subject/>
  <dc:creator>penny</dc:creator>
  <keywords/>
  <dc:description/>
  <lastModifiedBy>Penny Melville-Brown</lastModifiedBy>
  <revision>6</revision>
  <dcterms:created xsi:type="dcterms:W3CDTF">2020-11-30T11:07:00.0000000Z</dcterms:created>
  <dcterms:modified xsi:type="dcterms:W3CDTF">2020-11-30T11:07:46.0602006Z</dcterms:modified>
</coreProperties>
</file>