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xmlns:wp14="http://schemas.microsoft.com/office/word/2010/wordml" w:rsidRPr="00C576D3" w:rsidR="00911430" w:rsidP="00C576D3" w:rsidRDefault="00911430" w14:paraId="5A03E1AC" wp14:textId="77777777">
      <w:pPr>
        <w:jc w:val="center"/>
        <w:rPr>
          <w:b/>
        </w:rPr>
      </w:pPr>
      <w:r w:rsidRPr="00936FF3">
        <w:rPr>
          <w:b/>
        </w:rPr>
        <w:t>Equality Act 2010 (Specific Duties) Regulations.</w:t>
      </w:r>
    </w:p>
    <w:p xmlns:wp14="http://schemas.microsoft.com/office/word/2010/wordml" w:rsidR="00C576D3" w:rsidP="002B0A06" w:rsidRDefault="00C576D3" w14:paraId="672A6659" wp14:textId="77777777">
      <w:pPr>
        <w:autoSpaceDE w:val="0"/>
        <w:autoSpaceDN w:val="0"/>
        <w:adjustRightInd w:val="0"/>
      </w:pPr>
    </w:p>
    <w:p xmlns:wp14="http://schemas.microsoft.com/office/word/2010/wordml" w:rsidRPr="00936FF3" w:rsidR="0085628D" w:rsidP="002B0A06" w:rsidRDefault="00706FC3" w14:paraId="1A474F58" wp14:textId="77777777">
      <w:pPr>
        <w:autoSpaceDE w:val="0"/>
        <w:autoSpaceDN w:val="0"/>
        <w:adjustRightInd w:val="0"/>
      </w:pPr>
      <w:r w:rsidRPr="00936FF3">
        <w:t>1.</w:t>
      </w:r>
      <w:r w:rsidRPr="00936FF3">
        <w:tab/>
      </w:r>
      <w:r w:rsidRPr="00936FF3">
        <w:rPr>
          <w:b/>
        </w:rPr>
        <w:t>General duty.</w:t>
      </w:r>
      <w:r w:rsidRPr="00936FF3">
        <w:t xml:space="preserve">  All public authorities, </w:t>
      </w:r>
      <w:r w:rsidRPr="00936FF3" w:rsidR="007711D9">
        <w:t xml:space="preserve">when exercising their functions, </w:t>
      </w:r>
      <w:r w:rsidRPr="00936FF3">
        <w:t xml:space="preserve">must </w:t>
      </w:r>
      <w:r w:rsidRPr="00936FF3" w:rsidR="002B0A06">
        <w:t xml:space="preserve">have due regard to the </w:t>
      </w:r>
      <w:r w:rsidRPr="00936FF3" w:rsidR="007711D9">
        <w:t xml:space="preserve">need to: </w:t>
      </w:r>
    </w:p>
    <w:p xmlns:wp14="http://schemas.microsoft.com/office/word/2010/wordml" w:rsidRPr="00936FF3" w:rsidR="007711D9" w:rsidP="00DF3FA9" w:rsidRDefault="007711D9" w14:paraId="6921E9D0" wp14:textId="77777777">
      <w:pPr>
        <w:numPr>
          <w:ilvl w:val="0"/>
          <w:numId w:val="3"/>
        </w:numPr>
        <w:autoSpaceDE w:val="0"/>
        <w:autoSpaceDN w:val="0"/>
        <w:adjustRightInd w:val="0"/>
      </w:pPr>
      <w:r w:rsidRPr="00936FF3">
        <w:rPr>
          <w:color w:val="000000"/>
          <w:lang w:val="en"/>
        </w:rPr>
        <w:t>eliminate discrimination, harassment, victimisation and any other conduct that is prohibited by or under the Equality Act 2010;</w:t>
      </w:r>
    </w:p>
    <w:p xmlns:wp14="http://schemas.microsoft.com/office/word/2010/wordml" w:rsidRPr="00936FF3" w:rsidR="002B0A06" w:rsidP="00DF3FA9" w:rsidRDefault="007711D9" w14:paraId="55A66E7C" wp14:textId="77777777">
      <w:pPr>
        <w:numPr>
          <w:ilvl w:val="0"/>
          <w:numId w:val="3"/>
        </w:numPr>
        <w:rPr>
          <w:color w:val="000000"/>
          <w:lang w:val="en"/>
        </w:rPr>
      </w:pPr>
      <w:r w:rsidRPr="00936FF3">
        <w:rPr>
          <w:color w:val="000000"/>
          <w:lang w:val="en"/>
        </w:rPr>
        <w:t>advance equality of opportunity between persons who share a relevant protected characteristic (</w:t>
      </w:r>
      <w:r w:rsidRPr="00936FF3" w:rsidR="00325FF0">
        <w:rPr>
          <w:color w:val="000000"/>
          <w:lang w:val="en"/>
        </w:rPr>
        <w:t>e.g. disabled</w:t>
      </w:r>
      <w:r w:rsidRPr="00936FF3" w:rsidR="00DF3FA9">
        <w:rPr>
          <w:color w:val="000000"/>
          <w:lang w:val="en"/>
        </w:rPr>
        <w:t xml:space="preserve"> people </w:t>
      </w:r>
      <w:r w:rsidRPr="00936FF3">
        <w:rPr>
          <w:color w:val="000000"/>
          <w:lang w:val="en"/>
        </w:rPr>
        <w:t>) and persons who do not share it</w:t>
      </w:r>
      <w:r w:rsidRPr="00936FF3" w:rsidR="00DF3FA9">
        <w:rPr>
          <w:color w:val="000000"/>
          <w:lang w:val="en"/>
        </w:rPr>
        <w:t xml:space="preserve"> (e.g. non-disabled people)</w:t>
      </w:r>
      <w:r w:rsidRPr="00936FF3">
        <w:rPr>
          <w:color w:val="000000"/>
          <w:lang w:val="en"/>
        </w:rPr>
        <w:t>;</w:t>
      </w:r>
    </w:p>
    <w:p xmlns:wp14="http://schemas.microsoft.com/office/word/2010/wordml" w:rsidRPr="00936FF3" w:rsidR="007711D9" w:rsidP="00DF3FA9" w:rsidRDefault="00325FF0" w14:paraId="6AC65E79" wp14:textId="77777777">
      <w:pPr>
        <w:numPr>
          <w:ilvl w:val="0"/>
          <w:numId w:val="3"/>
        </w:numPr>
      </w:pPr>
      <w:r w:rsidRPr="00936FF3">
        <w:rPr>
          <w:color w:val="000000"/>
          <w:lang w:val="en"/>
        </w:rPr>
        <w:t>Foster</w:t>
      </w:r>
      <w:r w:rsidRPr="00936FF3" w:rsidR="007711D9">
        <w:rPr>
          <w:color w:val="000000"/>
          <w:lang w:val="en"/>
        </w:rPr>
        <w:t xml:space="preserve"> good relations between persons who share a relevant protected characteristic </w:t>
      </w:r>
      <w:r w:rsidRPr="00936FF3" w:rsidR="00A10D31">
        <w:rPr>
          <w:color w:val="000000"/>
          <w:lang w:val="en"/>
        </w:rPr>
        <w:t>(</w:t>
      </w:r>
      <w:r w:rsidRPr="00936FF3">
        <w:rPr>
          <w:color w:val="000000"/>
          <w:lang w:val="en"/>
        </w:rPr>
        <w:t>e.g. disabled</w:t>
      </w:r>
      <w:r w:rsidRPr="00936FF3" w:rsidR="00DF3FA9">
        <w:rPr>
          <w:color w:val="000000"/>
          <w:lang w:val="en"/>
        </w:rPr>
        <w:t xml:space="preserve"> people</w:t>
      </w:r>
      <w:r w:rsidRPr="00936FF3">
        <w:rPr>
          <w:color w:val="000000"/>
          <w:lang w:val="en"/>
        </w:rPr>
        <w:t>) and</w:t>
      </w:r>
      <w:r w:rsidRPr="00936FF3" w:rsidR="007711D9">
        <w:rPr>
          <w:color w:val="000000"/>
          <w:lang w:val="en"/>
        </w:rPr>
        <w:t xml:space="preserve"> persons who do not share it</w:t>
      </w:r>
      <w:r w:rsidRPr="00936FF3" w:rsidR="00DF3FA9">
        <w:rPr>
          <w:color w:val="000000"/>
          <w:lang w:val="en"/>
        </w:rPr>
        <w:t xml:space="preserve"> (e.g. non-disabled people)</w:t>
      </w:r>
      <w:r w:rsidRPr="00936FF3" w:rsidR="007711D9">
        <w:rPr>
          <w:color w:val="000000"/>
          <w:lang w:val="en"/>
        </w:rPr>
        <w:t>.</w:t>
      </w:r>
    </w:p>
    <w:p xmlns:wp14="http://schemas.microsoft.com/office/word/2010/wordml" w:rsidRPr="00936FF3" w:rsidR="00706FC3" w:rsidP="00A54E51" w:rsidRDefault="00706FC3" w14:paraId="0A37501D" wp14:textId="77777777"/>
    <w:p xmlns:wp14="http://schemas.microsoft.com/office/word/2010/wordml" w:rsidRPr="00936FF3" w:rsidR="00216D93" w:rsidP="00A54E51" w:rsidRDefault="00A54E51" w14:paraId="70FF6221" wp14:textId="77777777">
      <w:r w:rsidRPr="00936FF3">
        <w:t>2</w:t>
      </w:r>
      <w:r w:rsidRPr="00936FF3" w:rsidR="00911430">
        <w:t>.</w:t>
      </w:r>
      <w:r w:rsidRPr="00936FF3" w:rsidR="00DF3FA9">
        <w:tab/>
      </w:r>
      <w:r w:rsidRPr="00936FF3">
        <w:rPr>
          <w:b/>
        </w:rPr>
        <w:t>Specific Duties.</w:t>
      </w:r>
      <w:r w:rsidRPr="00936FF3">
        <w:t xml:space="preserve">  </w:t>
      </w:r>
      <w:r w:rsidRPr="00936FF3" w:rsidR="00216D93">
        <w:t xml:space="preserve">Introduced in September 2011, these Regulations </w:t>
      </w:r>
      <w:r w:rsidRPr="00936FF3">
        <w:t>place extra requirements on organisations listed in the Schedules</w:t>
      </w:r>
      <w:r w:rsidRPr="00936FF3" w:rsidR="00216D93">
        <w:t>:</w:t>
      </w:r>
    </w:p>
    <w:p xmlns:wp14="http://schemas.microsoft.com/office/word/2010/wordml" w:rsidRPr="00936FF3" w:rsidR="00216D93" w:rsidP="00216D93" w:rsidRDefault="00A54E51" w14:paraId="0475CF23" wp14:textId="77777777">
      <w:pPr>
        <w:numPr>
          <w:ilvl w:val="0"/>
          <w:numId w:val="5"/>
        </w:numPr>
      </w:pPr>
      <w:r w:rsidRPr="00936FF3">
        <w:t xml:space="preserve">Schedule 1 </w:t>
      </w:r>
      <w:r w:rsidRPr="00936FF3" w:rsidR="00216D93">
        <w:t xml:space="preserve">includes </w:t>
      </w:r>
      <w:r w:rsidRPr="00936FF3">
        <w:t xml:space="preserve">many national organisations and Government </w:t>
      </w:r>
      <w:r w:rsidRPr="00936FF3" w:rsidR="00D33F54">
        <w:t>Departments plus, more</w:t>
      </w:r>
      <w:r w:rsidRPr="00936FF3" w:rsidR="00216D93">
        <w:t xml:space="preserve"> locally</w:t>
      </w:r>
      <w:r w:rsidRPr="00936FF3">
        <w:t xml:space="preserve">, </w:t>
      </w:r>
      <w:r w:rsidRPr="00936FF3" w:rsidR="00216D93">
        <w:t xml:space="preserve">county councils or district councils in England, </w:t>
      </w:r>
      <w:r w:rsidRPr="00936FF3">
        <w:t>Probation Trusts</w:t>
      </w:r>
      <w:r w:rsidRPr="00936FF3" w:rsidR="00D33F54">
        <w:t>, NHS</w:t>
      </w:r>
      <w:r w:rsidRPr="00936FF3">
        <w:t xml:space="preserve"> foundation trusts</w:t>
      </w:r>
      <w:r w:rsidRPr="00936FF3" w:rsidR="00D33F54">
        <w:t>, NHS</w:t>
      </w:r>
      <w:r w:rsidRPr="00936FF3">
        <w:t xml:space="preserve"> Trusts, Primary Care </w:t>
      </w:r>
      <w:r w:rsidRPr="00936FF3" w:rsidR="00D33F54">
        <w:t>Trusts,</w:t>
      </w:r>
      <w:r w:rsidRPr="00936FF3">
        <w:t xml:space="preserve"> Special Health </w:t>
      </w:r>
      <w:r w:rsidRPr="00936FF3" w:rsidR="00325FF0">
        <w:t>Authorities</w:t>
      </w:r>
      <w:r w:rsidRPr="00936FF3">
        <w:t xml:space="preserve">,   Strategic Health </w:t>
      </w:r>
      <w:r w:rsidRPr="00936FF3" w:rsidR="00325FF0">
        <w:t>Authorities</w:t>
      </w:r>
      <w:r w:rsidRPr="00936FF3" w:rsidR="00D33F54">
        <w:t>, Fire</w:t>
      </w:r>
      <w:r w:rsidRPr="00936FF3">
        <w:t xml:space="preserve"> and Rescue </w:t>
      </w:r>
      <w:r w:rsidRPr="00936FF3" w:rsidR="00325FF0">
        <w:t>Authorities</w:t>
      </w:r>
      <w:r w:rsidRPr="00936FF3" w:rsidR="00D33F54">
        <w:t>, Governing</w:t>
      </w:r>
      <w:r w:rsidRPr="00936FF3">
        <w:t xml:space="preserve"> bodies of FE colleges and HE</w:t>
      </w:r>
      <w:r w:rsidRPr="00936FF3" w:rsidR="00BF63DC">
        <w:t xml:space="preserve"> </w:t>
      </w:r>
      <w:r w:rsidRPr="00936FF3">
        <w:t xml:space="preserve">institutions, Chief Constables.  </w:t>
      </w:r>
    </w:p>
    <w:p xmlns:wp14="http://schemas.microsoft.com/office/word/2010/wordml" w:rsidRPr="00936FF3" w:rsidR="00216D93" w:rsidP="00216D93" w:rsidRDefault="00A54E51" w14:paraId="1FD98B23" wp14:textId="77777777">
      <w:pPr>
        <w:numPr>
          <w:ilvl w:val="0"/>
          <w:numId w:val="5"/>
        </w:numPr>
      </w:pPr>
      <w:r w:rsidRPr="00936FF3">
        <w:t xml:space="preserve">Schedule 2 covers schools   maintained by local authorities, </w:t>
      </w:r>
      <w:r w:rsidRPr="00936FF3" w:rsidR="00325FF0">
        <w:t>Academies</w:t>
      </w:r>
      <w:r w:rsidRPr="00936FF3">
        <w:t xml:space="preserve"> and similar </w:t>
      </w:r>
      <w:r w:rsidRPr="00936FF3" w:rsidR="00DF3FA9">
        <w:t>(</w:t>
      </w:r>
      <w:r w:rsidRPr="00936FF3">
        <w:t>their main difference is a later date to publish information</w:t>
      </w:r>
      <w:r w:rsidRPr="00936FF3" w:rsidR="00DF3FA9">
        <w:t>)</w:t>
      </w:r>
      <w:r w:rsidRPr="00936FF3">
        <w:t>.</w:t>
      </w:r>
      <w:r w:rsidRPr="00936FF3" w:rsidR="00706FC3">
        <w:t xml:space="preserve">  </w:t>
      </w:r>
    </w:p>
    <w:p xmlns:wp14="http://schemas.microsoft.com/office/word/2010/wordml" w:rsidRPr="00936FF3" w:rsidR="00A54E51" w:rsidP="00A54E51" w:rsidRDefault="00706FC3" w14:paraId="2C20D199" wp14:textId="77777777">
      <w:r w:rsidRPr="00936FF3">
        <w:t xml:space="preserve">The purpose of the Specific Duties is to ensure </w:t>
      </w:r>
      <w:r w:rsidRPr="00936FF3" w:rsidR="00BF63DC">
        <w:t xml:space="preserve">that the listed </w:t>
      </w:r>
      <w:r w:rsidRPr="00936FF3">
        <w:t>public authorities achieve better performance in fulfilling the</w:t>
      </w:r>
      <w:r w:rsidRPr="00936FF3" w:rsidR="00BF63DC">
        <w:t xml:space="preserve"> General Duty</w:t>
      </w:r>
      <w:r w:rsidRPr="00936FF3">
        <w:t>.</w:t>
      </w:r>
    </w:p>
    <w:p xmlns:wp14="http://schemas.microsoft.com/office/word/2010/wordml" w:rsidRPr="00936FF3" w:rsidR="00706FC3" w:rsidP="00A54E51" w:rsidRDefault="00706FC3" w14:paraId="5DAB6C7B" wp14:textId="77777777"/>
    <w:p xmlns:wp14="http://schemas.microsoft.com/office/word/2010/wordml" w:rsidRPr="00936FF3" w:rsidR="00E72B2D" w:rsidP="00E72B2D" w:rsidRDefault="00E72B2D" w14:paraId="357B93EA" wp14:textId="77777777">
      <w:r w:rsidRPr="00936FF3">
        <w:rPr>
          <w:b/>
        </w:rPr>
        <w:t>3.</w:t>
      </w:r>
      <w:r w:rsidRPr="00936FF3">
        <w:rPr>
          <w:b/>
        </w:rPr>
        <w:tab/>
      </w:r>
      <w:r w:rsidRPr="00936FF3" w:rsidR="00706FC3">
        <w:rPr>
          <w:b/>
        </w:rPr>
        <w:t>Change.</w:t>
      </w:r>
      <w:r w:rsidRPr="00936FF3" w:rsidR="00706FC3">
        <w:t xml:space="preserve">  In the past, </w:t>
      </w:r>
      <w:r w:rsidRPr="00936FF3" w:rsidR="00216D93">
        <w:t xml:space="preserve">many </w:t>
      </w:r>
      <w:r w:rsidRPr="00936FF3" w:rsidR="00706FC3">
        <w:t xml:space="preserve">public sector bodies </w:t>
      </w:r>
      <w:r w:rsidRPr="00936FF3" w:rsidR="00216D93">
        <w:t xml:space="preserve">created </w:t>
      </w:r>
      <w:r w:rsidRPr="00936FF3" w:rsidR="00BF63DC">
        <w:t xml:space="preserve">race, Disability and Gender Equality Schemes.  These lengthy documents and their action plans are no longer needed.  Instead, the focus is on gathering robust data </w:t>
      </w:r>
      <w:r w:rsidRPr="00936FF3">
        <w:t xml:space="preserve">covering all the protected characteristics </w:t>
      </w:r>
      <w:r w:rsidRPr="00936FF3" w:rsidR="00BF63DC">
        <w:t>and using that to both set improvement objectives and measure their progress/achievement</w:t>
      </w:r>
      <w:r w:rsidRPr="00936FF3" w:rsidR="00F0031F">
        <w:t xml:space="preserve">.  </w:t>
      </w:r>
      <w:r w:rsidRPr="00936FF3">
        <w:t>The duties do not specify how the objectives will be met or require the organisation to set such out.  Essentially, if the information reveals a problem, the organisation should be setting a target to remedy it and then publish annual information to show its progress.</w:t>
      </w:r>
    </w:p>
    <w:p xmlns:wp14="http://schemas.microsoft.com/office/word/2010/wordml" w:rsidRPr="00936FF3" w:rsidR="00BF63DC" w:rsidP="00A54E51" w:rsidRDefault="00BF63DC" w14:paraId="02EB378F" wp14:textId="77777777"/>
    <w:p xmlns:wp14="http://schemas.microsoft.com/office/word/2010/wordml" w:rsidRPr="00936FF3" w:rsidR="00911430" w:rsidRDefault="00E72B2D" w14:paraId="0D795F34" wp14:textId="77777777">
      <w:r w:rsidRPr="00936FF3">
        <w:t>4</w:t>
      </w:r>
      <w:r w:rsidRPr="00936FF3" w:rsidR="00911430">
        <w:t>.</w:t>
      </w:r>
      <w:r w:rsidRPr="00936FF3" w:rsidR="00911430">
        <w:tab/>
      </w:r>
      <w:r w:rsidRPr="00936FF3" w:rsidR="00A54E51">
        <w:rPr>
          <w:b/>
        </w:rPr>
        <w:t xml:space="preserve">Two </w:t>
      </w:r>
      <w:r w:rsidRPr="00936FF3" w:rsidR="00E96E9E">
        <w:rPr>
          <w:b/>
        </w:rPr>
        <w:t xml:space="preserve">Specific </w:t>
      </w:r>
      <w:r w:rsidRPr="00936FF3" w:rsidR="00325FF0">
        <w:rPr>
          <w:b/>
        </w:rPr>
        <w:t>Duties.</w:t>
      </w:r>
    </w:p>
    <w:p xmlns:wp14="http://schemas.microsoft.com/office/word/2010/wordml" w:rsidRPr="00936FF3" w:rsidR="00BF63DC" w:rsidP="00E96E9E" w:rsidRDefault="00E72B2D" w14:paraId="7D04E640" wp14:textId="77777777">
      <w:r w:rsidRPr="00936FF3">
        <w:t>4</w:t>
      </w:r>
      <w:r w:rsidRPr="00936FF3" w:rsidR="00911430">
        <w:t>.1</w:t>
      </w:r>
      <w:r w:rsidRPr="00936FF3" w:rsidR="00911430">
        <w:tab/>
      </w:r>
      <w:r w:rsidRPr="00936FF3" w:rsidR="00911430">
        <w:rPr>
          <w:b/>
        </w:rPr>
        <w:t xml:space="preserve">Publish </w:t>
      </w:r>
      <w:r w:rsidRPr="00936FF3" w:rsidR="00325FF0">
        <w:rPr>
          <w:b/>
        </w:rPr>
        <w:t>information.</w:t>
      </w:r>
      <w:r w:rsidRPr="00936FF3" w:rsidR="00E96E9E">
        <w:t xml:space="preserve">  </w:t>
      </w:r>
      <w:r w:rsidRPr="00936FF3" w:rsidR="00BF63DC">
        <w:t xml:space="preserve">The information is required to </w:t>
      </w:r>
      <w:r w:rsidRPr="00936FF3" w:rsidR="00911430">
        <w:t xml:space="preserve">demonstrate compliance with the </w:t>
      </w:r>
      <w:r w:rsidRPr="00936FF3" w:rsidR="00BF63DC">
        <w:t xml:space="preserve">General Duty. </w:t>
      </w:r>
    </w:p>
    <w:p xmlns:wp14="http://schemas.microsoft.com/office/word/2010/wordml" w:rsidRPr="00936FF3" w:rsidR="00911430" w:rsidP="00BF63DC" w:rsidRDefault="00E96E9E" w14:paraId="0C86FDF9" wp14:textId="77777777">
      <w:pPr>
        <w:numPr>
          <w:ilvl w:val="0"/>
          <w:numId w:val="1"/>
        </w:numPr>
      </w:pPr>
      <w:r w:rsidRPr="00936FF3">
        <w:rPr>
          <w:b/>
        </w:rPr>
        <w:t>When to publish.</w:t>
      </w:r>
      <w:r w:rsidRPr="00936FF3">
        <w:t xml:space="preserve">  </w:t>
      </w:r>
      <w:r w:rsidRPr="00936FF3" w:rsidR="00216D93">
        <w:t xml:space="preserve">Except Schedule 2 bodies, </w:t>
      </w:r>
      <w:r w:rsidRPr="00936FF3">
        <w:t xml:space="preserve">the information must be published by </w:t>
      </w:r>
      <w:r w:rsidRPr="00936FF3" w:rsidR="00911430">
        <w:t>31 January 2012 and then</w:t>
      </w:r>
      <w:r w:rsidRPr="00936FF3">
        <w:t xml:space="preserve"> </w:t>
      </w:r>
      <w:r w:rsidRPr="00936FF3" w:rsidR="00911430">
        <w:t>annually</w:t>
      </w:r>
      <w:r w:rsidRPr="00936FF3">
        <w:t xml:space="preserve">. </w:t>
      </w:r>
    </w:p>
    <w:p xmlns:wp14="http://schemas.microsoft.com/office/word/2010/wordml" w:rsidRPr="00936FF3" w:rsidR="00911430" w:rsidP="00BF63DC" w:rsidRDefault="00911430" w14:paraId="28AA5D65" wp14:textId="77777777">
      <w:pPr>
        <w:numPr>
          <w:ilvl w:val="0"/>
          <w:numId w:val="1"/>
        </w:numPr>
      </w:pPr>
      <w:r w:rsidRPr="00936FF3">
        <w:rPr>
          <w:b/>
        </w:rPr>
        <w:t>What to publish</w:t>
      </w:r>
      <w:r w:rsidRPr="00936FF3" w:rsidR="00E96E9E">
        <w:rPr>
          <w:b/>
        </w:rPr>
        <w:t>.</w:t>
      </w:r>
      <w:r w:rsidRPr="00936FF3" w:rsidR="00E96E9E">
        <w:t xml:space="preserve">  </w:t>
      </w:r>
      <w:r w:rsidRPr="00936FF3">
        <w:t>In particular, information relating to persons who share a relevant protected characteristic (e.g. disabled people)  who are:</w:t>
      </w:r>
    </w:p>
    <w:p xmlns:wp14="http://schemas.microsoft.com/office/word/2010/wordml" w:rsidRPr="00936FF3" w:rsidR="00911430" w:rsidP="00A54E51" w:rsidRDefault="00911430" w14:paraId="50A6A826" wp14:textId="77777777">
      <w:pPr>
        <w:numPr>
          <w:ilvl w:val="1"/>
          <w:numId w:val="1"/>
        </w:numPr>
      </w:pPr>
      <w:r w:rsidRPr="00936FF3">
        <w:t>employees (unless employs&lt;150);</w:t>
      </w:r>
    </w:p>
    <w:p xmlns:wp14="http://schemas.microsoft.com/office/word/2010/wordml" w:rsidRPr="00936FF3" w:rsidR="00911430" w:rsidP="00A54E51" w:rsidRDefault="00325FF0" w14:paraId="072E6995" wp14:textId="77777777">
      <w:pPr>
        <w:numPr>
          <w:ilvl w:val="1"/>
          <w:numId w:val="1"/>
        </w:numPr>
      </w:pPr>
      <w:r w:rsidRPr="00936FF3">
        <w:t>Other</w:t>
      </w:r>
      <w:r w:rsidRPr="00936FF3" w:rsidR="00911430">
        <w:t xml:space="preserve"> people affected by </w:t>
      </w:r>
      <w:r w:rsidRPr="00936FF3" w:rsidR="00216D93">
        <w:t xml:space="preserve">the public body’s </w:t>
      </w:r>
      <w:r w:rsidRPr="00936FF3" w:rsidR="00911430">
        <w:t xml:space="preserve">policies and practices (e.g. residents for a Local </w:t>
      </w:r>
      <w:r w:rsidRPr="00936FF3">
        <w:t>Authority</w:t>
      </w:r>
      <w:r w:rsidRPr="00936FF3" w:rsidR="00911430">
        <w:t xml:space="preserve">; </w:t>
      </w:r>
      <w:r w:rsidRPr="00936FF3" w:rsidR="00E96E9E">
        <w:t xml:space="preserve">students </w:t>
      </w:r>
      <w:r w:rsidRPr="00936FF3" w:rsidR="00911430">
        <w:t xml:space="preserve">and parents of a </w:t>
      </w:r>
      <w:r w:rsidRPr="00936FF3" w:rsidR="00E96E9E">
        <w:t xml:space="preserve">college </w:t>
      </w:r>
      <w:r w:rsidRPr="00936FF3" w:rsidR="00911430">
        <w:t>etc)</w:t>
      </w:r>
      <w:r w:rsidRPr="00936FF3" w:rsidR="00E96E9E">
        <w:t>.</w:t>
      </w:r>
    </w:p>
    <w:p xmlns:wp14="http://schemas.microsoft.com/office/word/2010/wordml" w:rsidRPr="00936FF3" w:rsidR="00911430" w:rsidRDefault="00E96E9E" w14:paraId="40B350FF" wp14:textId="77777777">
      <w:pPr>
        <w:rPr>
          <w:i/>
          <w:sz w:val="22"/>
          <w:szCs w:val="22"/>
        </w:rPr>
      </w:pPr>
      <w:r w:rsidRPr="00936FF3">
        <w:rPr>
          <w:i/>
        </w:rPr>
        <w:t xml:space="preserve">For example, with regard to employees, the organisation </w:t>
      </w:r>
      <w:r w:rsidRPr="00936FF3" w:rsidR="00C7190A">
        <w:rPr>
          <w:i/>
        </w:rPr>
        <w:t xml:space="preserve">might publish </w:t>
      </w:r>
      <w:r w:rsidRPr="00936FF3">
        <w:rPr>
          <w:i/>
        </w:rPr>
        <w:t xml:space="preserve">information about the protected characteristics of </w:t>
      </w:r>
      <w:r w:rsidRPr="00936FF3" w:rsidR="00BF63DC">
        <w:rPr>
          <w:i/>
        </w:rPr>
        <w:t xml:space="preserve">all </w:t>
      </w:r>
      <w:r w:rsidRPr="00936FF3">
        <w:rPr>
          <w:i/>
        </w:rPr>
        <w:t>employee</w:t>
      </w:r>
      <w:r w:rsidRPr="00936FF3" w:rsidR="00BF63DC">
        <w:rPr>
          <w:i/>
        </w:rPr>
        <w:t xml:space="preserve">s </w:t>
      </w:r>
      <w:r w:rsidRPr="00936FF3" w:rsidR="00216D93">
        <w:rPr>
          <w:i/>
        </w:rPr>
        <w:t xml:space="preserve">linked to </w:t>
      </w:r>
      <w:r w:rsidRPr="00936FF3" w:rsidR="00BF63DC">
        <w:rPr>
          <w:i/>
        </w:rPr>
        <w:t xml:space="preserve">other related information (e.g. pay bands, </w:t>
      </w:r>
      <w:r w:rsidRPr="00936FF3" w:rsidR="00325FF0">
        <w:rPr>
          <w:i/>
        </w:rPr>
        <w:t>disciplinary</w:t>
      </w:r>
      <w:r w:rsidRPr="00936FF3" w:rsidR="00BF63DC">
        <w:rPr>
          <w:i/>
        </w:rPr>
        <w:t xml:space="preserve"> action, complaints etc)</w:t>
      </w:r>
      <w:r w:rsidRPr="00936FF3">
        <w:rPr>
          <w:i/>
        </w:rPr>
        <w:t xml:space="preserve">.  </w:t>
      </w:r>
      <w:r w:rsidRPr="00936FF3" w:rsidR="00BF63DC">
        <w:rPr>
          <w:i/>
        </w:rPr>
        <w:t xml:space="preserve">The public body </w:t>
      </w:r>
      <w:r w:rsidRPr="00936FF3">
        <w:rPr>
          <w:i/>
        </w:rPr>
        <w:t xml:space="preserve">would then need to consider how that information demonstrates compliance with the duty.  If the information shows </w:t>
      </w:r>
      <w:r w:rsidRPr="00936FF3" w:rsidR="00216D93">
        <w:rPr>
          <w:i/>
        </w:rPr>
        <w:t xml:space="preserve">an even </w:t>
      </w:r>
      <w:r w:rsidRPr="00936FF3">
        <w:rPr>
          <w:i/>
        </w:rPr>
        <w:t xml:space="preserve">spread of protected characteristics across all pay bands, this could show that the organisation has had regard to the need to eliminate discrimination </w:t>
      </w:r>
      <w:r w:rsidRPr="00936FF3" w:rsidR="00BF63DC">
        <w:rPr>
          <w:i/>
        </w:rPr>
        <w:t xml:space="preserve">and </w:t>
      </w:r>
      <w:r w:rsidRPr="00936FF3">
        <w:rPr>
          <w:i/>
        </w:rPr>
        <w:t xml:space="preserve">advance equal opportunities.  On the other hand, if information about disciplinary action or complaints shows that women feature disproportionately, then there may not have been sufficient regard to </w:t>
      </w:r>
      <w:r w:rsidRPr="00936FF3" w:rsidR="00BF63DC">
        <w:rPr>
          <w:i/>
        </w:rPr>
        <w:t xml:space="preserve">eliminating harassment and </w:t>
      </w:r>
      <w:r w:rsidRPr="00936FF3">
        <w:rPr>
          <w:i/>
        </w:rPr>
        <w:t>fostering good relations</w:t>
      </w:r>
      <w:r w:rsidRPr="00936FF3">
        <w:rPr>
          <w:i/>
          <w:sz w:val="22"/>
          <w:szCs w:val="22"/>
        </w:rPr>
        <w:t>.</w:t>
      </w:r>
    </w:p>
    <w:p xmlns:wp14="http://schemas.microsoft.com/office/word/2010/wordml" w:rsidRPr="00936FF3" w:rsidR="00911430" w:rsidRDefault="00911430" w14:paraId="6A05A809" wp14:textId="77777777"/>
    <w:p xmlns:wp14="http://schemas.microsoft.com/office/word/2010/wordml" w:rsidRPr="00936FF3" w:rsidR="00911430" w:rsidP="00DF3FA9" w:rsidRDefault="00E72B2D" w14:paraId="627C9D0B" wp14:textId="77777777">
      <w:r w:rsidRPr="00936FF3">
        <w:t>4</w:t>
      </w:r>
      <w:r w:rsidRPr="00936FF3" w:rsidR="00911430">
        <w:t>.2</w:t>
      </w:r>
      <w:r w:rsidRPr="00936FF3" w:rsidR="00911430">
        <w:tab/>
      </w:r>
      <w:r w:rsidRPr="00936FF3" w:rsidR="00911430">
        <w:rPr>
          <w:b/>
        </w:rPr>
        <w:t>Equality objectives.</w:t>
      </w:r>
      <w:r w:rsidRPr="00936FF3" w:rsidR="00DF3FA9">
        <w:t xml:space="preserve">  </w:t>
      </w:r>
      <w:r w:rsidRPr="00936FF3" w:rsidR="00911430">
        <w:t xml:space="preserve">All </w:t>
      </w:r>
      <w:r w:rsidRPr="00936FF3" w:rsidR="00C7190A">
        <w:t xml:space="preserve">listed </w:t>
      </w:r>
      <w:r w:rsidRPr="00936FF3" w:rsidR="00911430">
        <w:t xml:space="preserve">public authorities must publish one or more objectives it thinks it should achieve </w:t>
      </w:r>
      <w:r w:rsidRPr="00936FF3" w:rsidR="00E96E9E">
        <w:t xml:space="preserve">in order </w:t>
      </w:r>
      <w:r w:rsidRPr="00936FF3" w:rsidR="00325FF0">
        <w:t>to fulfil</w:t>
      </w:r>
      <w:r w:rsidRPr="00936FF3" w:rsidR="00BF63DC">
        <w:t xml:space="preserve"> its General Duty</w:t>
      </w:r>
      <w:r w:rsidRPr="00936FF3" w:rsidR="00E96E9E">
        <w:t>.</w:t>
      </w:r>
    </w:p>
    <w:p xmlns:wp14="http://schemas.microsoft.com/office/word/2010/wordml" w:rsidRPr="00936FF3" w:rsidR="00911430" w:rsidP="00BF63DC" w:rsidRDefault="00E96E9E" w14:paraId="377B0AA1" wp14:textId="77777777">
      <w:pPr>
        <w:numPr>
          <w:ilvl w:val="0"/>
          <w:numId w:val="2"/>
        </w:numPr>
      </w:pPr>
      <w:r w:rsidRPr="00936FF3">
        <w:rPr>
          <w:b/>
        </w:rPr>
        <w:t>When to publish.</w:t>
      </w:r>
      <w:r w:rsidRPr="00936FF3">
        <w:t xml:space="preserve">  T</w:t>
      </w:r>
      <w:r w:rsidRPr="00936FF3" w:rsidR="00911430">
        <w:t>hese objectives must be published by 6 April 2012 and then at least 4 yearly.</w:t>
      </w:r>
    </w:p>
    <w:p xmlns:wp14="http://schemas.microsoft.com/office/word/2010/wordml" w:rsidRPr="00936FF3" w:rsidR="00911430" w:rsidP="00BF63DC" w:rsidRDefault="00E96E9E" w14:paraId="17974769" wp14:textId="77777777">
      <w:pPr>
        <w:numPr>
          <w:ilvl w:val="0"/>
          <w:numId w:val="2"/>
        </w:numPr>
      </w:pPr>
      <w:r w:rsidRPr="00936FF3">
        <w:rPr>
          <w:b/>
        </w:rPr>
        <w:t>What to publish.</w:t>
      </w:r>
      <w:r w:rsidRPr="00936FF3">
        <w:t xml:space="preserve">  </w:t>
      </w:r>
      <w:r w:rsidRPr="00936FF3" w:rsidR="00911430">
        <w:t>The objectives must be specific and measurable.</w:t>
      </w:r>
    </w:p>
    <w:p xmlns:wp14="http://schemas.microsoft.com/office/word/2010/wordml" w:rsidRPr="00936FF3" w:rsidR="00C7190A" w:rsidP="00C7190A" w:rsidRDefault="00C7190A" w14:paraId="7DC90100" wp14:textId="77777777">
      <w:pPr>
        <w:rPr>
          <w:i/>
        </w:rPr>
      </w:pPr>
      <w:r w:rsidRPr="00936FF3">
        <w:rPr>
          <w:i/>
        </w:rPr>
        <w:t xml:space="preserve">For example, if the information published shows an uneven spread of protected characteristics across all pay bands, the organisation might set an objective of achieving a specific number of men, women or disabled people etc in each pay band by the end of, say, four years.  </w:t>
      </w:r>
      <w:r w:rsidRPr="00936FF3" w:rsidR="00325FF0">
        <w:rPr>
          <w:i/>
        </w:rPr>
        <w:t>Similarly</w:t>
      </w:r>
      <w:r w:rsidRPr="00936FF3">
        <w:rPr>
          <w:i/>
        </w:rPr>
        <w:t xml:space="preserve">, </w:t>
      </w:r>
      <w:r w:rsidRPr="00936FF3" w:rsidR="00DF3FA9">
        <w:rPr>
          <w:i/>
        </w:rPr>
        <w:t xml:space="preserve">it </w:t>
      </w:r>
      <w:r w:rsidRPr="00936FF3">
        <w:rPr>
          <w:i/>
        </w:rPr>
        <w:t xml:space="preserve">might set an objective </w:t>
      </w:r>
      <w:r w:rsidRPr="00936FF3" w:rsidR="00BF63DC">
        <w:rPr>
          <w:i/>
        </w:rPr>
        <w:t xml:space="preserve">of </w:t>
      </w:r>
      <w:r w:rsidRPr="00936FF3">
        <w:rPr>
          <w:i/>
        </w:rPr>
        <w:t xml:space="preserve">reducing disciplinary action and complaints involving </w:t>
      </w:r>
      <w:r w:rsidRPr="00936FF3" w:rsidR="00325FF0">
        <w:rPr>
          <w:i/>
        </w:rPr>
        <w:t>women</w:t>
      </w:r>
      <w:r w:rsidRPr="00936FF3">
        <w:rPr>
          <w:i/>
        </w:rPr>
        <w:t xml:space="preserve">.  </w:t>
      </w:r>
    </w:p>
    <w:p xmlns:wp14="http://schemas.microsoft.com/office/word/2010/wordml" w:rsidRPr="00936FF3" w:rsidR="00C7190A" w:rsidP="00C7190A" w:rsidRDefault="00C7190A" w14:paraId="5A39BBE3" wp14:textId="77777777"/>
    <w:p xmlns:wp14="http://schemas.microsoft.com/office/word/2010/wordml" w:rsidRPr="00936FF3" w:rsidR="00911430" w:rsidP="00911430" w:rsidRDefault="00E72B2D" w14:paraId="561FBBAA" wp14:textId="77777777">
      <w:r w:rsidRPr="00936FF3">
        <w:t>5</w:t>
      </w:r>
      <w:r w:rsidRPr="00936FF3" w:rsidR="00E96E9E">
        <w:t>.</w:t>
      </w:r>
      <w:r w:rsidRPr="00936FF3" w:rsidR="00325FF0">
        <w:tab/>
      </w:r>
      <w:r w:rsidRPr="00936FF3" w:rsidR="00C7190A">
        <w:rPr>
          <w:b/>
        </w:rPr>
        <w:t>How to publish</w:t>
      </w:r>
      <w:r w:rsidRPr="00936FF3">
        <w:rPr>
          <w:b/>
        </w:rPr>
        <w:t>.</w:t>
      </w:r>
      <w:r w:rsidRPr="00936FF3">
        <w:t xml:space="preserve">  </w:t>
      </w:r>
      <w:r w:rsidRPr="00936FF3" w:rsidR="00216D93">
        <w:t>I</w:t>
      </w:r>
      <w:r w:rsidRPr="00936FF3" w:rsidR="00911430">
        <w:t xml:space="preserve">nformation </w:t>
      </w:r>
      <w:r w:rsidRPr="00936FF3" w:rsidR="00216D93">
        <w:t xml:space="preserve">must be </w:t>
      </w:r>
      <w:r w:rsidRPr="00936FF3" w:rsidR="00911430">
        <w:t xml:space="preserve">accessible to the public (and can be within another </w:t>
      </w:r>
      <w:r w:rsidRPr="00936FF3" w:rsidR="00325FF0">
        <w:t>published document</w:t>
      </w:r>
      <w:r w:rsidRPr="00936FF3" w:rsidR="00911430">
        <w:t xml:space="preserve"> e.g. an annual report</w:t>
      </w:r>
      <w:r w:rsidRPr="00936FF3" w:rsidR="00216D93">
        <w:t>)</w:t>
      </w:r>
      <w:r w:rsidRPr="00936FF3" w:rsidR="00BF63DC">
        <w:t>.</w:t>
      </w:r>
    </w:p>
    <w:p xmlns:wp14="http://schemas.microsoft.com/office/word/2010/wordml" w:rsidRPr="00936FF3" w:rsidR="00E72B2D" w:rsidP="00911430" w:rsidRDefault="00C7190A" w14:paraId="5DE8B2FC" wp14:textId="77777777">
      <w:pPr>
        <w:rPr>
          <w:i/>
        </w:rPr>
      </w:pPr>
      <w:r w:rsidRPr="00936FF3">
        <w:rPr>
          <w:i/>
        </w:rPr>
        <w:t>For example, the public body may publish its information and its objectives as stand-alone documents in January and April 2012 but then provide updated information in annual reports until publishing new objectives by April 2016.</w:t>
      </w:r>
      <w:r w:rsidRPr="00936FF3" w:rsidR="00051D99">
        <w:rPr>
          <w:i/>
        </w:rPr>
        <w:t xml:space="preserve">  </w:t>
      </w:r>
    </w:p>
    <w:p xmlns:wp14="http://schemas.microsoft.com/office/word/2010/wordml" w:rsidRPr="00936FF3" w:rsidR="00911430" w:rsidP="00911430" w:rsidRDefault="00051D99" w14:paraId="1208784D" wp14:textId="77777777">
      <w:r w:rsidRPr="00936FF3">
        <w:t xml:space="preserve">All </w:t>
      </w:r>
      <w:r w:rsidRPr="00936FF3" w:rsidR="00BF63DC">
        <w:t xml:space="preserve">these </w:t>
      </w:r>
      <w:r w:rsidRPr="00936FF3">
        <w:t>documents will be open to public scrutiny (which was encouraged by the Government).  Hence, a public body may be criticised if the information is not comprehensive, if objectives do not relate to the information or that annual updates do not show improvement.</w:t>
      </w:r>
    </w:p>
    <w:p xmlns:wp14="http://schemas.microsoft.com/office/word/2010/wordml" w:rsidRPr="00936FF3" w:rsidR="00911430" w:rsidP="00911430" w:rsidRDefault="00911430" w14:paraId="41C8F396" wp14:textId="77777777"/>
    <w:p xmlns:wp14="http://schemas.microsoft.com/office/word/2010/wordml" w:rsidRPr="00936FF3" w:rsidR="00051D99" w:rsidP="00911430" w:rsidRDefault="00E72B2D" w14:paraId="1DBC27CD" wp14:textId="77777777">
      <w:r w:rsidRPr="00936FF3">
        <w:t>6.</w:t>
      </w:r>
      <w:r w:rsidRPr="00936FF3">
        <w:tab/>
      </w:r>
      <w:r w:rsidRPr="00936FF3" w:rsidR="00051D99">
        <w:rPr>
          <w:b/>
        </w:rPr>
        <w:t>Factors to consider.</w:t>
      </w:r>
    </w:p>
    <w:p xmlns:wp14="http://schemas.microsoft.com/office/word/2010/wordml" w:rsidRPr="00936FF3" w:rsidR="00051D99" w:rsidP="00216D93" w:rsidRDefault="00051D99" w14:paraId="7B912B74" wp14:textId="77777777">
      <w:pPr>
        <w:numPr>
          <w:ilvl w:val="0"/>
          <w:numId w:val="4"/>
        </w:numPr>
      </w:pPr>
      <w:r w:rsidRPr="00936FF3">
        <w:t xml:space="preserve">Some public bodies may have overlapping geographic areas or </w:t>
      </w:r>
      <w:r w:rsidRPr="00936FF3" w:rsidR="00C721CF">
        <w:t xml:space="preserve">the same </w:t>
      </w:r>
      <w:r w:rsidRPr="00936FF3">
        <w:t xml:space="preserve">people </w:t>
      </w:r>
      <w:r w:rsidRPr="00936FF3" w:rsidR="00C721CF">
        <w:t xml:space="preserve">may be </w:t>
      </w:r>
      <w:r w:rsidRPr="00936FF3">
        <w:t xml:space="preserve">affected by </w:t>
      </w:r>
      <w:r w:rsidRPr="00936FF3" w:rsidR="00325FF0">
        <w:t>their policies</w:t>
      </w:r>
      <w:r w:rsidRPr="00936FF3" w:rsidR="00BF63DC">
        <w:t xml:space="preserve"> and practices</w:t>
      </w:r>
      <w:r w:rsidRPr="00936FF3">
        <w:t xml:space="preserve">.  </w:t>
      </w:r>
      <w:r w:rsidRPr="00936FF3" w:rsidR="00216D93">
        <w:t xml:space="preserve">Consider the </w:t>
      </w:r>
      <w:r w:rsidRPr="00936FF3">
        <w:t>cost-</w:t>
      </w:r>
      <w:r w:rsidRPr="00936FF3" w:rsidR="00D33F54">
        <w:t>effectiveness of</w:t>
      </w:r>
      <w:r w:rsidRPr="00936FF3" w:rsidR="00216D93">
        <w:t xml:space="preserve"> gathering </w:t>
      </w:r>
      <w:r w:rsidRPr="00936FF3">
        <w:t>information jointly.</w:t>
      </w:r>
    </w:p>
    <w:p xmlns:wp14="http://schemas.microsoft.com/office/word/2010/wordml" w:rsidRPr="00936FF3" w:rsidR="008B46B7" w:rsidP="00216D93" w:rsidRDefault="00C721CF" w14:paraId="5C913BD9" wp14:textId="77777777">
      <w:pPr>
        <w:numPr>
          <w:ilvl w:val="0"/>
          <w:numId w:val="4"/>
        </w:numPr>
      </w:pPr>
      <w:r w:rsidRPr="00936FF3">
        <w:t xml:space="preserve">Comparable data across all the protected characteristics may not yet be held.  </w:t>
      </w:r>
      <w:r w:rsidRPr="00936FF3" w:rsidR="00216D93">
        <w:t xml:space="preserve">Consider </w:t>
      </w:r>
      <w:r w:rsidRPr="00936FF3">
        <w:t xml:space="preserve">Gathering such </w:t>
      </w:r>
      <w:r w:rsidRPr="00936FF3" w:rsidR="00216D93">
        <w:t xml:space="preserve">as </w:t>
      </w:r>
      <w:r w:rsidRPr="00936FF3">
        <w:t>an early objective.</w:t>
      </w:r>
    </w:p>
    <w:p xmlns:wp14="http://schemas.microsoft.com/office/word/2010/wordml" w:rsidRPr="00936FF3" w:rsidR="00216D93" w:rsidP="00216D93" w:rsidRDefault="00051D99" w14:paraId="007F0967" wp14:textId="77777777">
      <w:pPr>
        <w:numPr>
          <w:ilvl w:val="0"/>
          <w:numId w:val="4"/>
        </w:numPr>
      </w:pPr>
      <w:r w:rsidRPr="00936FF3">
        <w:t xml:space="preserve">Public bodies </w:t>
      </w:r>
      <w:r w:rsidRPr="00936FF3" w:rsidR="00BF63DC">
        <w:t xml:space="preserve">may set </w:t>
      </w:r>
      <w:r w:rsidRPr="00936FF3">
        <w:t xml:space="preserve">their information in a wider context </w:t>
      </w:r>
      <w:r w:rsidRPr="00936FF3" w:rsidR="00BF63DC">
        <w:t>(</w:t>
      </w:r>
      <w:r w:rsidRPr="00936FF3">
        <w:t>e.g. comparing with regional and national data</w:t>
      </w:r>
      <w:r w:rsidRPr="00936FF3" w:rsidR="00BF63DC">
        <w:t>)</w:t>
      </w:r>
      <w:r w:rsidRPr="00936FF3">
        <w:t xml:space="preserve">.  </w:t>
      </w:r>
      <w:r w:rsidRPr="00936FF3" w:rsidR="00216D93">
        <w:t xml:space="preserve">Consider if this would contribute to setting priorities for objectives. </w:t>
      </w:r>
    </w:p>
    <w:p xmlns:wp14="http://schemas.microsoft.com/office/word/2010/wordml" w:rsidRPr="00936FF3" w:rsidR="008B46B7" w:rsidP="00216D93" w:rsidRDefault="008B46B7" w14:paraId="3496F027" wp14:textId="77777777">
      <w:pPr>
        <w:numPr>
          <w:ilvl w:val="0"/>
          <w:numId w:val="4"/>
        </w:numPr>
      </w:pPr>
      <w:r w:rsidRPr="00936FF3">
        <w:t xml:space="preserve">Public bodies will need to specify </w:t>
      </w:r>
      <w:r w:rsidRPr="00936FF3" w:rsidR="00DF3FA9">
        <w:t xml:space="preserve">all </w:t>
      </w:r>
      <w:r w:rsidRPr="00936FF3">
        <w:t xml:space="preserve">of their functions and gather information </w:t>
      </w:r>
      <w:r w:rsidRPr="00936FF3" w:rsidR="00216D93">
        <w:t xml:space="preserve">for </w:t>
      </w:r>
      <w:r w:rsidRPr="00936FF3">
        <w:t xml:space="preserve">each.  </w:t>
      </w:r>
      <w:r w:rsidRPr="00936FF3" w:rsidR="00216D93">
        <w:t xml:space="preserve">Consider the depth of information required by each function to demonstrate performance in relation to the elements of the General Duty concerning employees and other people affected by it’s policies and practices </w:t>
      </w:r>
      <w:r w:rsidRPr="00936FF3" w:rsidR="00DF3FA9">
        <w:t>(</w:t>
      </w:r>
      <w:r w:rsidRPr="00936FF3">
        <w:t xml:space="preserve">e.g. </w:t>
      </w:r>
      <w:r w:rsidRPr="00936FF3" w:rsidR="00216D93">
        <w:t xml:space="preserve">employer function  might include </w:t>
      </w:r>
      <w:r w:rsidRPr="00936FF3">
        <w:t xml:space="preserve">protected characteristics at each pay grade, job applications/appointments, disciplinary action, </w:t>
      </w:r>
      <w:r w:rsidRPr="00936FF3" w:rsidR="00BF63DC">
        <w:t>complaints</w:t>
      </w:r>
      <w:r w:rsidRPr="00936FF3">
        <w:t xml:space="preserve">, retirement, redundancy, promotion </w:t>
      </w:r>
      <w:r w:rsidRPr="00936FF3" w:rsidR="00325FF0">
        <w:t xml:space="preserve">etc </w:t>
      </w:r>
      <w:r w:rsidRPr="00936FF3" w:rsidR="00216D93">
        <w:t xml:space="preserve">whereas another function might only require </w:t>
      </w:r>
      <w:r w:rsidRPr="00936FF3">
        <w:t>complaints, satisfaction levels, participation levels etc by each protected characteristic).</w:t>
      </w:r>
    </w:p>
    <w:p xmlns:wp14="http://schemas.microsoft.com/office/word/2010/wordml" w:rsidRPr="00936FF3" w:rsidR="008B46B7" w:rsidP="00216D93" w:rsidRDefault="008B46B7" w14:paraId="647D0BAA" wp14:textId="77777777">
      <w:pPr>
        <w:numPr>
          <w:ilvl w:val="0"/>
          <w:numId w:val="4"/>
        </w:numPr>
      </w:pPr>
      <w:r w:rsidRPr="00936FF3">
        <w:t xml:space="preserve">All functions of the public body play their part in the overall duty.  </w:t>
      </w:r>
      <w:r w:rsidRPr="00936FF3" w:rsidR="00216D93">
        <w:t xml:space="preserve">Consider adding </w:t>
      </w:r>
      <w:r w:rsidRPr="00936FF3">
        <w:t xml:space="preserve">the duties </w:t>
      </w:r>
      <w:r w:rsidRPr="00936FF3" w:rsidR="00216D93">
        <w:t xml:space="preserve">to each function lead’s </w:t>
      </w:r>
      <w:r w:rsidRPr="00936FF3">
        <w:t xml:space="preserve">role specification and performance </w:t>
      </w:r>
      <w:r w:rsidRPr="00936FF3" w:rsidR="00216D93">
        <w:t>objectives</w:t>
      </w:r>
      <w:r w:rsidRPr="00936FF3">
        <w:t>.</w:t>
      </w:r>
    </w:p>
    <w:p xmlns:wp14="http://schemas.microsoft.com/office/word/2010/wordml" w:rsidRPr="00936FF3" w:rsidR="00706FC3" w:rsidP="00216D93" w:rsidRDefault="00BF63DC" w14:paraId="4C10C6DD" wp14:textId="77777777">
      <w:pPr>
        <w:numPr>
          <w:ilvl w:val="0"/>
          <w:numId w:val="4"/>
        </w:numPr>
      </w:pPr>
      <w:r w:rsidRPr="00936FF3">
        <w:t xml:space="preserve">Embedding </w:t>
      </w:r>
      <w:r w:rsidRPr="00936FF3" w:rsidR="008B46B7">
        <w:t xml:space="preserve">the specific duties within overall </w:t>
      </w:r>
      <w:r w:rsidRPr="00936FF3" w:rsidR="00325FF0">
        <w:t>performance management</w:t>
      </w:r>
      <w:r w:rsidRPr="00936FF3" w:rsidR="008B46B7">
        <w:t xml:space="preserve"> of the public body avoids it being seen as an “add-on” and means that information/data  is </w:t>
      </w:r>
      <w:r w:rsidRPr="00936FF3" w:rsidR="00325FF0">
        <w:t>gathered via</w:t>
      </w:r>
      <w:r w:rsidRPr="00936FF3" w:rsidR="008B46B7">
        <w:t xml:space="preserve"> existing mechanisms</w:t>
      </w:r>
      <w:r w:rsidRPr="00936FF3" w:rsidR="00706FC3">
        <w:t xml:space="preserve"> and can be subject to existing risk management </w:t>
      </w:r>
      <w:r w:rsidRPr="00936FF3" w:rsidR="008B46B7">
        <w:t xml:space="preserve">.  Reporting on objectives and their progress likewise can become part of routine </w:t>
      </w:r>
      <w:r w:rsidRPr="00936FF3" w:rsidR="00E72B2D">
        <w:t>business and</w:t>
      </w:r>
      <w:r w:rsidRPr="00936FF3" w:rsidR="00216D93">
        <w:t xml:space="preserve"> </w:t>
      </w:r>
      <w:r w:rsidRPr="00936FF3" w:rsidR="00325FF0">
        <w:t xml:space="preserve">published </w:t>
      </w:r>
      <w:r w:rsidRPr="00936FF3" w:rsidR="00216D93">
        <w:t xml:space="preserve">in </w:t>
      </w:r>
      <w:r w:rsidRPr="00936FF3" w:rsidR="00325FF0">
        <w:t>existing</w:t>
      </w:r>
      <w:r w:rsidRPr="00936FF3" w:rsidR="008B46B7">
        <w:t xml:space="preserve"> reports.</w:t>
      </w:r>
      <w:r w:rsidRPr="00936FF3" w:rsidR="00216D93">
        <w:t xml:space="preserve">  Consider placing lead coordinating </w:t>
      </w:r>
      <w:r w:rsidRPr="00936FF3" w:rsidR="00D33F54">
        <w:t>responsibility for</w:t>
      </w:r>
      <w:r w:rsidRPr="00936FF3" w:rsidR="00216D93">
        <w:t xml:space="preserve"> the duties within the business rather than equality functions.</w:t>
      </w:r>
    </w:p>
    <w:p xmlns:wp14="http://schemas.microsoft.com/office/word/2010/wordml" w:rsidRPr="00936FF3" w:rsidR="00C721CF" w:rsidP="00216D93" w:rsidRDefault="00C721CF" w14:paraId="2671F9BC" wp14:textId="77777777">
      <w:pPr>
        <w:numPr>
          <w:ilvl w:val="0"/>
          <w:numId w:val="4"/>
        </w:numPr>
      </w:pPr>
      <w:r w:rsidRPr="00936FF3">
        <w:t>Maintaining records of what has been done to achieve objectives may help identify what works and what does not, and be evidence of effort if objectives are not met.</w:t>
      </w:r>
      <w:r w:rsidRPr="00936FF3" w:rsidR="00216D93">
        <w:t xml:space="preserve">  Consider embedding actions in the business plan.</w:t>
      </w:r>
    </w:p>
    <w:p xmlns:wp14="http://schemas.microsoft.com/office/word/2010/wordml" w:rsidRPr="00936FF3" w:rsidR="00216D93" w:rsidP="00216D93" w:rsidRDefault="008B46B7" w14:paraId="47BC6CA9" wp14:textId="77777777">
      <w:pPr>
        <w:numPr>
          <w:ilvl w:val="0"/>
          <w:numId w:val="4"/>
        </w:numPr>
      </w:pPr>
      <w:r w:rsidRPr="00936FF3">
        <w:t>Objectives need to be SMART</w:t>
      </w:r>
      <w:r w:rsidRPr="00936FF3" w:rsidR="00216D93">
        <w:t>.  Consider if they are realistic enough to publish.</w:t>
      </w:r>
    </w:p>
    <w:p xmlns:wp14="http://schemas.microsoft.com/office/word/2010/wordml" w:rsidRPr="00936FF3" w:rsidR="008B46B7" w:rsidP="1497999D" w:rsidRDefault="00216D93" w14:paraId="6723F3C8" wp14:textId="66AB96A3">
      <w:pPr>
        <w:numPr>
          <w:ilvl w:val="0"/>
          <w:numId w:val="4"/>
        </w:numPr>
        <w:rPr>
          <w:rFonts w:ascii="Arial" w:hAnsi="Arial" w:eastAsia="Arial" w:cs="Arial"/>
          <w:sz w:val="24"/>
          <w:szCs w:val="24"/>
        </w:rPr>
      </w:pPr>
      <w:r w:rsidR="1497999D">
        <w:rPr/>
        <w:t xml:space="preserve">Involving employees and the public can mitigate criticism.  Consider on-going consultation.  </w:t>
      </w:r>
      <w:r>
        <w:drawing>
          <wp:inline xmlns:wp14="http://schemas.microsoft.com/office/word/2010/wordprocessingDrawing" wp14:editId="4284EC55" wp14:anchorId="75E34006">
            <wp:extent cx="1038225" cy="295275"/>
            <wp:effectExtent l="0" t="0" r="0" b="0"/>
            <wp:docPr id="408781161" name="" title=""/>
            <wp:cNvGraphicFramePr>
              <a:graphicFrameLocks noChangeAspect="1"/>
            </wp:cNvGraphicFramePr>
            <a:graphic>
              <a:graphicData uri="http://schemas.openxmlformats.org/drawingml/2006/picture">
                <pic:pic>
                  <pic:nvPicPr>
                    <pic:cNvPr id="0" name=""/>
                    <pic:cNvPicPr/>
                  </pic:nvPicPr>
                  <pic:blipFill>
                    <a:blip r:embed="R9a96dc81a44c4d87">
                      <a:extLst>
                        <a:ext xmlns:a="http://schemas.openxmlformats.org/drawingml/2006/main" uri="{28A0092B-C50C-407E-A947-70E740481C1C}">
                          <a14:useLocalDpi val="0"/>
                        </a:ext>
                      </a:extLst>
                    </a:blip>
                    <a:stretch>
                      <a:fillRect/>
                    </a:stretch>
                  </pic:blipFill>
                  <pic:spPr>
                    <a:xfrm>
                      <a:off x="0" y="0"/>
                      <a:ext cx="1038225" cy="295275"/>
                    </a:xfrm>
                    <a:prstGeom prst="rect">
                      <a:avLst/>
                    </a:prstGeom>
                  </pic:spPr>
                </pic:pic>
              </a:graphicData>
            </a:graphic>
          </wp:inline>
        </w:drawing>
      </w:r>
    </w:p>
    <w:sectPr w:rsidRPr="00936FF3" w:rsidR="008B46B7" w:rsidSect="00C576D3">
      <w:pgSz w:w="11907" w:h="16840" w:orient="portrait" w:code="9"/>
      <w:pgMar w:top="1021" w:right="964" w:bottom="1021" w:left="964" w:header="567" w:footer="425"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067F2"/>
    <w:multiLevelType w:val="hybridMultilevel"/>
    <w:tmpl w:val="816A23A2"/>
    <w:lvl w:ilvl="0" w:tplc="7020DCFC">
      <w:start w:val="1"/>
      <w:numFmt w:val="bullet"/>
      <w:lvlText w:val=""/>
      <w:lvlJc w:val="left"/>
      <w:pPr>
        <w:tabs>
          <w:tab w:val="num" w:pos="720"/>
        </w:tabs>
        <w:ind w:left="720" w:hanging="363"/>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146F0B08"/>
    <w:multiLevelType w:val="hybridMultilevel"/>
    <w:tmpl w:val="D76E1572"/>
    <w:lvl w:ilvl="0" w:tplc="7020DCFC">
      <w:start w:val="1"/>
      <w:numFmt w:val="bullet"/>
      <w:lvlText w:val=""/>
      <w:lvlJc w:val="left"/>
      <w:pPr>
        <w:tabs>
          <w:tab w:val="num" w:pos="720"/>
        </w:tabs>
        <w:ind w:left="720" w:hanging="363"/>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2F4F1A69"/>
    <w:multiLevelType w:val="hybridMultilevel"/>
    <w:tmpl w:val="AD76FFEC"/>
    <w:lvl w:ilvl="0" w:tplc="7020DCFC">
      <w:start w:val="1"/>
      <w:numFmt w:val="bullet"/>
      <w:lvlText w:val=""/>
      <w:lvlJc w:val="left"/>
      <w:pPr>
        <w:tabs>
          <w:tab w:val="num" w:pos="720"/>
        </w:tabs>
        <w:ind w:left="720" w:hanging="363"/>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6A5220F1"/>
    <w:multiLevelType w:val="hybridMultilevel"/>
    <w:tmpl w:val="D674A85C"/>
    <w:lvl w:ilvl="0" w:tplc="7020DCFC">
      <w:start w:val="1"/>
      <w:numFmt w:val="bullet"/>
      <w:lvlText w:val=""/>
      <w:lvlJc w:val="left"/>
      <w:pPr>
        <w:tabs>
          <w:tab w:val="num" w:pos="720"/>
        </w:tabs>
        <w:ind w:left="720" w:hanging="363"/>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78412F0F"/>
    <w:multiLevelType w:val="hybridMultilevel"/>
    <w:tmpl w:val="3FD06CB8"/>
    <w:lvl w:ilvl="0" w:tplc="7020DCFC">
      <w:start w:val="1"/>
      <w:numFmt w:val="bullet"/>
      <w:lvlText w:val=""/>
      <w:lvlJc w:val="left"/>
      <w:pPr>
        <w:tabs>
          <w:tab w:val="num" w:pos="720"/>
        </w:tabs>
        <w:ind w:left="720" w:hanging="363"/>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430"/>
    <w:rsid w:val="00004D7B"/>
    <w:rsid w:val="000163F0"/>
    <w:rsid w:val="00021F39"/>
    <w:rsid w:val="00027466"/>
    <w:rsid w:val="000305A9"/>
    <w:rsid w:val="00031BD6"/>
    <w:rsid w:val="00034A83"/>
    <w:rsid w:val="000369ED"/>
    <w:rsid w:val="00036F6C"/>
    <w:rsid w:val="00051D99"/>
    <w:rsid w:val="00055A22"/>
    <w:rsid w:val="00055A3D"/>
    <w:rsid w:val="00061A19"/>
    <w:rsid w:val="00062FFD"/>
    <w:rsid w:val="00073963"/>
    <w:rsid w:val="00077FAF"/>
    <w:rsid w:val="000825EC"/>
    <w:rsid w:val="000A5D24"/>
    <w:rsid w:val="000B5D7D"/>
    <w:rsid w:val="000C4B72"/>
    <w:rsid w:val="000C63EC"/>
    <w:rsid w:val="000E3C32"/>
    <w:rsid w:val="000E5FA3"/>
    <w:rsid w:val="000E5FAA"/>
    <w:rsid w:val="000E7AC6"/>
    <w:rsid w:val="000F02F7"/>
    <w:rsid w:val="000F458E"/>
    <w:rsid w:val="00102D87"/>
    <w:rsid w:val="0010790B"/>
    <w:rsid w:val="0011599F"/>
    <w:rsid w:val="001250BC"/>
    <w:rsid w:val="0014381E"/>
    <w:rsid w:val="001459FF"/>
    <w:rsid w:val="00147292"/>
    <w:rsid w:val="00147B13"/>
    <w:rsid w:val="0015167E"/>
    <w:rsid w:val="00152A58"/>
    <w:rsid w:val="00156E2E"/>
    <w:rsid w:val="0016229E"/>
    <w:rsid w:val="00175961"/>
    <w:rsid w:val="00176E95"/>
    <w:rsid w:val="001801FA"/>
    <w:rsid w:val="001802C9"/>
    <w:rsid w:val="00194831"/>
    <w:rsid w:val="001954CA"/>
    <w:rsid w:val="00195EF4"/>
    <w:rsid w:val="00197D4E"/>
    <w:rsid w:val="001A0A7F"/>
    <w:rsid w:val="001A7D24"/>
    <w:rsid w:val="001B45F6"/>
    <w:rsid w:val="001B756F"/>
    <w:rsid w:val="001C1613"/>
    <w:rsid w:val="001D27C9"/>
    <w:rsid w:val="001D51D1"/>
    <w:rsid w:val="001D7AF2"/>
    <w:rsid w:val="001E0D8C"/>
    <w:rsid w:val="001E1EE3"/>
    <w:rsid w:val="001E3A0B"/>
    <w:rsid w:val="001F2386"/>
    <w:rsid w:val="001F2B64"/>
    <w:rsid w:val="001F3833"/>
    <w:rsid w:val="001F5A5F"/>
    <w:rsid w:val="002004FE"/>
    <w:rsid w:val="002151E8"/>
    <w:rsid w:val="00216AE2"/>
    <w:rsid w:val="00216D93"/>
    <w:rsid w:val="002222B2"/>
    <w:rsid w:val="002234A5"/>
    <w:rsid w:val="00237964"/>
    <w:rsid w:val="0026277A"/>
    <w:rsid w:val="00264B84"/>
    <w:rsid w:val="00267400"/>
    <w:rsid w:val="00273F2B"/>
    <w:rsid w:val="002747BB"/>
    <w:rsid w:val="0028351C"/>
    <w:rsid w:val="00284A43"/>
    <w:rsid w:val="00286F39"/>
    <w:rsid w:val="00292992"/>
    <w:rsid w:val="00296AEE"/>
    <w:rsid w:val="002A1245"/>
    <w:rsid w:val="002A1AE3"/>
    <w:rsid w:val="002A4C17"/>
    <w:rsid w:val="002A601E"/>
    <w:rsid w:val="002B0A06"/>
    <w:rsid w:val="002B3EEF"/>
    <w:rsid w:val="002C179B"/>
    <w:rsid w:val="002D2A67"/>
    <w:rsid w:val="002D453E"/>
    <w:rsid w:val="002D45C5"/>
    <w:rsid w:val="002F5F34"/>
    <w:rsid w:val="0030799A"/>
    <w:rsid w:val="00316E55"/>
    <w:rsid w:val="00325FF0"/>
    <w:rsid w:val="00352160"/>
    <w:rsid w:val="00352F8F"/>
    <w:rsid w:val="00357009"/>
    <w:rsid w:val="00360500"/>
    <w:rsid w:val="003632E8"/>
    <w:rsid w:val="00366EC8"/>
    <w:rsid w:val="00375794"/>
    <w:rsid w:val="00376389"/>
    <w:rsid w:val="00376C24"/>
    <w:rsid w:val="00380DF1"/>
    <w:rsid w:val="003870F1"/>
    <w:rsid w:val="0038777E"/>
    <w:rsid w:val="00393623"/>
    <w:rsid w:val="00393FEC"/>
    <w:rsid w:val="003A258C"/>
    <w:rsid w:val="003A416A"/>
    <w:rsid w:val="003A5E4F"/>
    <w:rsid w:val="003B476B"/>
    <w:rsid w:val="003B5E80"/>
    <w:rsid w:val="003D0065"/>
    <w:rsid w:val="003D1C9E"/>
    <w:rsid w:val="003D678C"/>
    <w:rsid w:val="003E0269"/>
    <w:rsid w:val="003E6B21"/>
    <w:rsid w:val="003F1D0E"/>
    <w:rsid w:val="00403703"/>
    <w:rsid w:val="00403B20"/>
    <w:rsid w:val="004164B4"/>
    <w:rsid w:val="004240C8"/>
    <w:rsid w:val="004263BE"/>
    <w:rsid w:val="004312D6"/>
    <w:rsid w:val="004421D1"/>
    <w:rsid w:val="00446FA0"/>
    <w:rsid w:val="00447465"/>
    <w:rsid w:val="004516A6"/>
    <w:rsid w:val="004527C7"/>
    <w:rsid w:val="00456B71"/>
    <w:rsid w:val="00470AB6"/>
    <w:rsid w:val="00472857"/>
    <w:rsid w:val="004766B7"/>
    <w:rsid w:val="00482A8B"/>
    <w:rsid w:val="00486B7E"/>
    <w:rsid w:val="00495B82"/>
    <w:rsid w:val="0049667A"/>
    <w:rsid w:val="00497264"/>
    <w:rsid w:val="004B20A3"/>
    <w:rsid w:val="004B5D94"/>
    <w:rsid w:val="004C2D71"/>
    <w:rsid w:val="004C69BA"/>
    <w:rsid w:val="004C6DA1"/>
    <w:rsid w:val="004D2B79"/>
    <w:rsid w:val="004D351A"/>
    <w:rsid w:val="004E4D6A"/>
    <w:rsid w:val="004F03C6"/>
    <w:rsid w:val="00504C87"/>
    <w:rsid w:val="00511230"/>
    <w:rsid w:val="0051645E"/>
    <w:rsid w:val="00517473"/>
    <w:rsid w:val="00525B8A"/>
    <w:rsid w:val="00525E06"/>
    <w:rsid w:val="00543DB0"/>
    <w:rsid w:val="0054648F"/>
    <w:rsid w:val="0055236F"/>
    <w:rsid w:val="005600FC"/>
    <w:rsid w:val="00563BF9"/>
    <w:rsid w:val="005712BE"/>
    <w:rsid w:val="00575598"/>
    <w:rsid w:val="00580563"/>
    <w:rsid w:val="00580F01"/>
    <w:rsid w:val="00582CA2"/>
    <w:rsid w:val="005936E9"/>
    <w:rsid w:val="00594338"/>
    <w:rsid w:val="005A084B"/>
    <w:rsid w:val="005A6BD7"/>
    <w:rsid w:val="005B197A"/>
    <w:rsid w:val="005B1D0E"/>
    <w:rsid w:val="005C486D"/>
    <w:rsid w:val="005C62E1"/>
    <w:rsid w:val="005D1712"/>
    <w:rsid w:val="005D33E7"/>
    <w:rsid w:val="005D67D4"/>
    <w:rsid w:val="005D793A"/>
    <w:rsid w:val="005E5E9A"/>
    <w:rsid w:val="005E6387"/>
    <w:rsid w:val="006055F3"/>
    <w:rsid w:val="006117BE"/>
    <w:rsid w:val="00613D69"/>
    <w:rsid w:val="00614F94"/>
    <w:rsid w:val="0061709B"/>
    <w:rsid w:val="00620288"/>
    <w:rsid w:val="00630860"/>
    <w:rsid w:val="006368ED"/>
    <w:rsid w:val="006444EC"/>
    <w:rsid w:val="00644587"/>
    <w:rsid w:val="0065259B"/>
    <w:rsid w:val="006674E1"/>
    <w:rsid w:val="00675D45"/>
    <w:rsid w:val="006902E3"/>
    <w:rsid w:val="00692ED6"/>
    <w:rsid w:val="0069700D"/>
    <w:rsid w:val="006A0EE2"/>
    <w:rsid w:val="006A443A"/>
    <w:rsid w:val="006A7EA5"/>
    <w:rsid w:val="006B4B26"/>
    <w:rsid w:val="006B646D"/>
    <w:rsid w:val="006C1612"/>
    <w:rsid w:val="006C17EB"/>
    <w:rsid w:val="006D7979"/>
    <w:rsid w:val="006E002F"/>
    <w:rsid w:val="006E3AFB"/>
    <w:rsid w:val="006F315A"/>
    <w:rsid w:val="006F56B7"/>
    <w:rsid w:val="007002E0"/>
    <w:rsid w:val="00702836"/>
    <w:rsid w:val="00706FC3"/>
    <w:rsid w:val="00716EC3"/>
    <w:rsid w:val="0071747F"/>
    <w:rsid w:val="007225B5"/>
    <w:rsid w:val="00725118"/>
    <w:rsid w:val="00730DD2"/>
    <w:rsid w:val="007424D2"/>
    <w:rsid w:val="007711D9"/>
    <w:rsid w:val="00774279"/>
    <w:rsid w:val="00775C19"/>
    <w:rsid w:val="007818AE"/>
    <w:rsid w:val="00796A60"/>
    <w:rsid w:val="007B3274"/>
    <w:rsid w:val="007B4A00"/>
    <w:rsid w:val="007B6671"/>
    <w:rsid w:val="007C2161"/>
    <w:rsid w:val="007C3FC7"/>
    <w:rsid w:val="007C4BF3"/>
    <w:rsid w:val="007C67D1"/>
    <w:rsid w:val="007D2C28"/>
    <w:rsid w:val="007D45EE"/>
    <w:rsid w:val="007D7644"/>
    <w:rsid w:val="007E02B6"/>
    <w:rsid w:val="007E2A42"/>
    <w:rsid w:val="007E3803"/>
    <w:rsid w:val="007E4F6F"/>
    <w:rsid w:val="007E75E8"/>
    <w:rsid w:val="007F09D3"/>
    <w:rsid w:val="007F690C"/>
    <w:rsid w:val="00801AFA"/>
    <w:rsid w:val="00807868"/>
    <w:rsid w:val="0082420F"/>
    <w:rsid w:val="00826026"/>
    <w:rsid w:val="00830845"/>
    <w:rsid w:val="00833AC0"/>
    <w:rsid w:val="00837DCC"/>
    <w:rsid w:val="00845131"/>
    <w:rsid w:val="0085628D"/>
    <w:rsid w:val="0085777A"/>
    <w:rsid w:val="00863353"/>
    <w:rsid w:val="00867FF6"/>
    <w:rsid w:val="008878C0"/>
    <w:rsid w:val="00897800"/>
    <w:rsid w:val="008A2A84"/>
    <w:rsid w:val="008A59AE"/>
    <w:rsid w:val="008B059F"/>
    <w:rsid w:val="008B416E"/>
    <w:rsid w:val="008B46B7"/>
    <w:rsid w:val="008B64AB"/>
    <w:rsid w:val="008C0B73"/>
    <w:rsid w:val="008D2662"/>
    <w:rsid w:val="008D5132"/>
    <w:rsid w:val="008E176E"/>
    <w:rsid w:val="008E37D3"/>
    <w:rsid w:val="008E4BE7"/>
    <w:rsid w:val="008E7D12"/>
    <w:rsid w:val="008F0420"/>
    <w:rsid w:val="00905412"/>
    <w:rsid w:val="00907F3A"/>
    <w:rsid w:val="00911430"/>
    <w:rsid w:val="009174C1"/>
    <w:rsid w:val="00925290"/>
    <w:rsid w:val="0093157E"/>
    <w:rsid w:val="00932AE4"/>
    <w:rsid w:val="00936FF3"/>
    <w:rsid w:val="00950361"/>
    <w:rsid w:val="00950960"/>
    <w:rsid w:val="009512D4"/>
    <w:rsid w:val="00952ED1"/>
    <w:rsid w:val="00954C17"/>
    <w:rsid w:val="009602A6"/>
    <w:rsid w:val="009659D6"/>
    <w:rsid w:val="009674AA"/>
    <w:rsid w:val="00984DEF"/>
    <w:rsid w:val="00986A7F"/>
    <w:rsid w:val="009936FB"/>
    <w:rsid w:val="00993E39"/>
    <w:rsid w:val="009A778E"/>
    <w:rsid w:val="009B03AB"/>
    <w:rsid w:val="009B0BE2"/>
    <w:rsid w:val="009B351C"/>
    <w:rsid w:val="009C2097"/>
    <w:rsid w:val="009C20C9"/>
    <w:rsid w:val="009C31E4"/>
    <w:rsid w:val="009C3CE1"/>
    <w:rsid w:val="009E13AC"/>
    <w:rsid w:val="009E30FC"/>
    <w:rsid w:val="009E3A83"/>
    <w:rsid w:val="009E57F6"/>
    <w:rsid w:val="009E69C4"/>
    <w:rsid w:val="009F3F8C"/>
    <w:rsid w:val="009F49FC"/>
    <w:rsid w:val="009F5F6C"/>
    <w:rsid w:val="009F7FB5"/>
    <w:rsid w:val="00A07A8C"/>
    <w:rsid w:val="00A10CA3"/>
    <w:rsid w:val="00A10D31"/>
    <w:rsid w:val="00A1363B"/>
    <w:rsid w:val="00A13A5B"/>
    <w:rsid w:val="00A22F7E"/>
    <w:rsid w:val="00A2380B"/>
    <w:rsid w:val="00A244D7"/>
    <w:rsid w:val="00A35666"/>
    <w:rsid w:val="00A37C13"/>
    <w:rsid w:val="00A40278"/>
    <w:rsid w:val="00A40909"/>
    <w:rsid w:val="00A415AB"/>
    <w:rsid w:val="00A46128"/>
    <w:rsid w:val="00A5082D"/>
    <w:rsid w:val="00A5269C"/>
    <w:rsid w:val="00A53DFC"/>
    <w:rsid w:val="00A54E51"/>
    <w:rsid w:val="00A569EB"/>
    <w:rsid w:val="00A62483"/>
    <w:rsid w:val="00A70CA6"/>
    <w:rsid w:val="00A74DDF"/>
    <w:rsid w:val="00A8049A"/>
    <w:rsid w:val="00A86A97"/>
    <w:rsid w:val="00AA15A2"/>
    <w:rsid w:val="00AB246F"/>
    <w:rsid w:val="00AC2E15"/>
    <w:rsid w:val="00AC4015"/>
    <w:rsid w:val="00AD0734"/>
    <w:rsid w:val="00AE61B5"/>
    <w:rsid w:val="00AE63F4"/>
    <w:rsid w:val="00AF2B0F"/>
    <w:rsid w:val="00AF3972"/>
    <w:rsid w:val="00B0532E"/>
    <w:rsid w:val="00B06490"/>
    <w:rsid w:val="00B076B5"/>
    <w:rsid w:val="00B078CB"/>
    <w:rsid w:val="00B07FC7"/>
    <w:rsid w:val="00B10235"/>
    <w:rsid w:val="00B13C23"/>
    <w:rsid w:val="00B16E22"/>
    <w:rsid w:val="00B17226"/>
    <w:rsid w:val="00B22415"/>
    <w:rsid w:val="00B24EEA"/>
    <w:rsid w:val="00B4084B"/>
    <w:rsid w:val="00B420E9"/>
    <w:rsid w:val="00B51AB2"/>
    <w:rsid w:val="00B629F2"/>
    <w:rsid w:val="00B753C0"/>
    <w:rsid w:val="00B8006D"/>
    <w:rsid w:val="00B81C0D"/>
    <w:rsid w:val="00B83C5B"/>
    <w:rsid w:val="00B91D72"/>
    <w:rsid w:val="00BA12B5"/>
    <w:rsid w:val="00BA3E4C"/>
    <w:rsid w:val="00BA4EEB"/>
    <w:rsid w:val="00BA51B8"/>
    <w:rsid w:val="00BA55A5"/>
    <w:rsid w:val="00BA74F5"/>
    <w:rsid w:val="00BB0DF6"/>
    <w:rsid w:val="00BB18A4"/>
    <w:rsid w:val="00BC1CC7"/>
    <w:rsid w:val="00BD6136"/>
    <w:rsid w:val="00BE23D3"/>
    <w:rsid w:val="00BE2F64"/>
    <w:rsid w:val="00BF0235"/>
    <w:rsid w:val="00BF3A81"/>
    <w:rsid w:val="00BF63DC"/>
    <w:rsid w:val="00C07A1A"/>
    <w:rsid w:val="00C108B0"/>
    <w:rsid w:val="00C16E9B"/>
    <w:rsid w:val="00C2099A"/>
    <w:rsid w:val="00C23CD7"/>
    <w:rsid w:val="00C360D0"/>
    <w:rsid w:val="00C44DC4"/>
    <w:rsid w:val="00C51827"/>
    <w:rsid w:val="00C576D3"/>
    <w:rsid w:val="00C61A97"/>
    <w:rsid w:val="00C64B03"/>
    <w:rsid w:val="00C713AD"/>
    <w:rsid w:val="00C7190A"/>
    <w:rsid w:val="00C721CF"/>
    <w:rsid w:val="00C82E7D"/>
    <w:rsid w:val="00C85D5A"/>
    <w:rsid w:val="00C91529"/>
    <w:rsid w:val="00C91985"/>
    <w:rsid w:val="00CA7CA6"/>
    <w:rsid w:val="00CB46D7"/>
    <w:rsid w:val="00CD033E"/>
    <w:rsid w:val="00CD55C6"/>
    <w:rsid w:val="00CD601A"/>
    <w:rsid w:val="00CE1AB8"/>
    <w:rsid w:val="00CE34FE"/>
    <w:rsid w:val="00CF2656"/>
    <w:rsid w:val="00CF2980"/>
    <w:rsid w:val="00CF2AD3"/>
    <w:rsid w:val="00D0182B"/>
    <w:rsid w:val="00D02E9B"/>
    <w:rsid w:val="00D04B66"/>
    <w:rsid w:val="00D30F4E"/>
    <w:rsid w:val="00D32A84"/>
    <w:rsid w:val="00D33F54"/>
    <w:rsid w:val="00D447FD"/>
    <w:rsid w:val="00D50943"/>
    <w:rsid w:val="00D5502A"/>
    <w:rsid w:val="00D60ABB"/>
    <w:rsid w:val="00D610F8"/>
    <w:rsid w:val="00D62CD3"/>
    <w:rsid w:val="00D675EA"/>
    <w:rsid w:val="00D84382"/>
    <w:rsid w:val="00D85DB2"/>
    <w:rsid w:val="00D910E4"/>
    <w:rsid w:val="00D9298F"/>
    <w:rsid w:val="00DB3A82"/>
    <w:rsid w:val="00DB4CB3"/>
    <w:rsid w:val="00DB631F"/>
    <w:rsid w:val="00DC184E"/>
    <w:rsid w:val="00DC2A14"/>
    <w:rsid w:val="00DC5A68"/>
    <w:rsid w:val="00DC63AA"/>
    <w:rsid w:val="00DD5293"/>
    <w:rsid w:val="00DF3FA9"/>
    <w:rsid w:val="00DF45F4"/>
    <w:rsid w:val="00DF6352"/>
    <w:rsid w:val="00DF67B7"/>
    <w:rsid w:val="00E0501A"/>
    <w:rsid w:val="00E057AD"/>
    <w:rsid w:val="00E13192"/>
    <w:rsid w:val="00E132C1"/>
    <w:rsid w:val="00E221F5"/>
    <w:rsid w:val="00E26B35"/>
    <w:rsid w:val="00E31AE5"/>
    <w:rsid w:val="00E376AA"/>
    <w:rsid w:val="00E46892"/>
    <w:rsid w:val="00E5455D"/>
    <w:rsid w:val="00E72B2D"/>
    <w:rsid w:val="00E8298B"/>
    <w:rsid w:val="00E85D37"/>
    <w:rsid w:val="00E85DDA"/>
    <w:rsid w:val="00E866DF"/>
    <w:rsid w:val="00E90AD3"/>
    <w:rsid w:val="00E92B47"/>
    <w:rsid w:val="00E95863"/>
    <w:rsid w:val="00E96E9E"/>
    <w:rsid w:val="00EA6D51"/>
    <w:rsid w:val="00EB0737"/>
    <w:rsid w:val="00EB1C42"/>
    <w:rsid w:val="00EC7209"/>
    <w:rsid w:val="00EE0125"/>
    <w:rsid w:val="00EF25A3"/>
    <w:rsid w:val="00EF29F5"/>
    <w:rsid w:val="00EF6280"/>
    <w:rsid w:val="00EF6BE3"/>
    <w:rsid w:val="00F0031F"/>
    <w:rsid w:val="00F135E9"/>
    <w:rsid w:val="00F15097"/>
    <w:rsid w:val="00F205CA"/>
    <w:rsid w:val="00F20625"/>
    <w:rsid w:val="00F31882"/>
    <w:rsid w:val="00F35425"/>
    <w:rsid w:val="00F46611"/>
    <w:rsid w:val="00F607B8"/>
    <w:rsid w:val="00F63C36"/>
    <w:rsid w:val="00F65B0B"/>
    <w:rsid w:val="00F74575"/>
    <w:rsid w:val="00F749A6"/>
    <w:rsid w:val="00F852D3"/>
    <w:rsid w:val="00F85DDB"/>
    <w:rsid w:val="00F9168E"/>
    <w:rsid w:val="00F9349B"/>
    <w:rsid w:val="00F93602"/>
    <w:rsid w:val="00FB1291"/>
    <w:rsid w:val="00FC1A7A"/>
    <w:rsid w:val="00FC4BCD"/>
    <w:rsid w:val="00FD0047"/>
    <w:rsid w:val="00FD3FC2"/>
    <w:rsid w:val="00FD4D23"/>
    <w:rsid w:val="00FD5DFB"/>
    <w:rsid w:val="00FE0CF4"/>
    <w:rsid w:val="00FE551D"/>
    <w:rsid w:val="00FE7139"/>
    <w:rsid w:val="00FF12B8"/>
    <w:rsid w:val="1497999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86C073E-E43F-48CE-A572-ACD7CC585431}"/>
  <w14:docId w14:val="7AE43A5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cs="Arial"/>
      <w:sz w:val="24"/>
      <w:szCs w:val="24"/>
      <w:lang w:eastAsia="en-GB"/>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BalloonText">
    <w:name w:val="Balloon Text"/>
    <w:basedOn w:val="Normal"/>
    <w:link w:val="BalloonTextChar"/>
    <w:rsid w:val="00216AE2"/>
    <w:rPr>
      <w:rFonts w:ascii="Tahoma" w:hAnsi="Tahoma" w:cs="Tahoma"/>
      <w:sz w:val="16"/>
      <w:szCs w:val="16"/>
    </w:rPr>
  </w:style>
  <w:style w:type="character" w:styleId="BalloonTextChar" w:customStyle="1">
    <w:name w:val="Balloon Text Char"/>
    <w:link w:val="BalloonText"/>
    <w:rsid w:val="00216A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image" Target="/media/image.png" Id="R9a96dc81a44c4d8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Disability Dynamics</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Equality Act 2010 (Specific Duties) Regulations</dc:title>
  <dc:subject/>
  <dc:creator>penny</dc:creator>
  <keywords/>
  <dc:description/>
  <lastModifiedBy>Penny Melville-Brown</lastModifiedBy>
  <revision>4</revision>
  <lastPrinted>2011-10-26T17:09:00.0000000Z</lastPrinted>
  <dcterms:created xsi:type="dcterms:W3CDTF">2020-11-30T11:19:00.0000000Z</dcterms:created>
  <dcterms:modified xsi:type="dcterms:W3CDTF">2020-11-30T11:21:01.2804724Z</dcterms:modified>
</coreProperties>
</file>